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3FAF" w14:textId="40EBD1DB" w:rsidR="008C4EC7" w:rsidRPr="00FE57FC" w:rsidRDefault="000176A5" w:rsidP="00177DFF">
      <w:pPr>
        <w:ind w:left="-1701"/>
        <w:rPr>
          <w:rFonts w:ascii="Garamond" w:hAnsi="Garamond" w:cs="Arial"/>
          <w:b/>
          <w:color w:val="002060"/>
          <w:sz w:val="42"/>
          <w:szCs w:val="42"/>
        </w:rPr>
      </w:pPr>
      <w:r>
        <w:rPr>
          <w:rFonts w:ascii="Garamond" w:hAnsi="Garamond" w:cs="Arial"/>
          <w:b/>
          <w:noProof/>
          <w:color w:val="002060"/>
          <w:sz w:val="42"/>
          <w:szCs w:val="42"/>
        </w:rPr>
        <w:drawing>
          <wp:inline distT="0" distB="0" distL="0" distR="0" wp14:anchorId="31DE9002" wp14:editId="2CB2CB6E">
            <wp:extent cx="7534275" cy="10668000"/>
            <wp:effectExtent l="0" t="0" r="9525" b="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la de celular com texto preto sobre fundo branc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939" cy="106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F30D9" w14:textId="77777777" w:rsidR="00B92C2C" w:rsidRPr="00FE57FC" w:rsidRDefault="004425AF" w:rsidP="003F68F9">
      <w:pPr>
        <w:spacing w:before="120" w:after="120" w:line="240" w:lineRule="auto"/>
        <w:jc w:val="center"/>
        <w:rPr>
          <w:rFonts w:ascii="Garamond" w:hAnsi="Garamond" w:cs="Arial"/>
          <w:b/>
          <w:color w:val="002060"/>
          <w:sz w:val="42"/>
          <w:szCs w:val="42"/>
        </w:rPr>
      </w:pPr>
      <w:r w:rsidRPr="00FE57FC">
        <w:rPr>
          <w:rFonts w:ascii="Garamond" w:hAnsi="Garamond" w:cs="Arial"/>
          <w:b/>
          <w:color w:val="002060"/>
          <w:sz w:val="42"/>
          <w:szCs w:val="42"/>
        </w:rPr>
        <w:lastRenderedPageBreak/>
        <w:t xml:space="preserve">CARTA ANUAL DE POLÍTICAS PÚBLICAS E GOVERNANÇA CORPORATIVA </w:t>
      </w:r>
    </w:p>
    <w:p w14:paraId="5FD1A48F" w14:textId="77777777" w:rsidR="003A5CC8" w:rsidRPr="00FE57FC" w:rsidRDefault="003A5CC8" w:rsidP="00F20193">
      <w:pPr>
        <w:spacing w:before="120" w:after="120"/>
        <w:jc w:val="both"/>
        <w:rPr>
          <w:rFonts w:ascii="Garamond" w:hAnsi="Garamond" w:cs="Arial"/>
          <w:color w:val="002060"/>
        </w:rPr>
      </w:pPr>
    </w:p>
    <w:p w14:paraId="08A2F6D7" w14:textId="3223B5FF" w:rsidR="00B92C2C" w:rsidRPr="00FE57FC" w:rsidRDefault="004425AF" w:rsidP="00F20193">
      <w:pPr>
        <w:spacing w:before="120" w:after="120"/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>Em conformidade com o art. 8º, inciso</w:t>
      </w:r>
      <w:r w:rsidR="00621601" w:rsidRPr="00FE57FC">
        <w:rPr>
          <w:rFonts w:ascii="Garamond" w:hAnsi="Garamond" w:cs="Arial"/>
          <w:color w:val="002060"/>
          <w:sz w:val="24"/>
          <w:szCs w:val="24"/>
        </w:rPr>
        <w:t>s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 I e VIII, da Lei nº 13.303, de 30 de junho de 2016, </w:t>
      </w:r>
      <w:r w:rsidR="000A24EC" w:rsidRPr="00FE57FC">
        <w:rPr>
          <w:rFonts w:ascii="Garamond" w:hAnsi="Garamond" w:cs="Arial"/>
          <w:color w:val="002060"/>
          <w:sz w:val="24"/>
          <w:szCs w:val="24"/>
        </w:rPr>
        <w:t xml:space="preserve">e com o inciso XXXIII, artigo 42 do Estatuto Social 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o Conselho de Administração </w:t>
      </w:r>
      <w:r w:rsidR="000A24EC" w:rsidRPr="00FE57FC">
        <w:rPr>
          <w:rFonts w:ascii="Garamond" w:hAnsi="Garamond" w:cs="Arial"/>
          <w:color w:val="002060"/>
          <w:sz w:val="24"/>
          <w:szCs w:val="24"/>
        </w:rPr>
        <w:t>aprova e divulga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 Carta Anual sobre Políticas Públicas e Governança Corporativa referente ao exercício social de 20</w:t>
      </w:r>
      <w:r w:rsidR="00903A77" w:rsidRPr="00FE57FC">
        <w:rPr>
          <w:rFonts w:ascii="Garamond" w:hAnsi="Garamond" w:cs="Arial"/>
          <w:color w:val="002060"/>
          <w:sz w:val="24"/>
          <w:szCs w:val="24"/>
        </w:rPr>
        <w:t>2</w:t>
      </w:r>
      <w:r w:rsidR="007F45DF">
        <w:rPr>
          <w:rFonts w:ascii="Garamond" w:hAnsi="Garamond" w:cs="Arial"/>
          <w:color w:val="002060"/>
          <w:sz w:val="24"/>
          <w:szCs w:val="24"/>
        </w:rPr>
        <w:t>1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. </w:t>
      </w:r>
    </w:p>
    <w:p w14:paraId="6EE4575E" w14:textId="77777777" w:rsidR="003A5CC8" w:rsidRPr="00FE57FC" w:rsidRDefault="003A5CC8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</w:p>
    <w:p w14:paraId="48F89301" w14:textId="77777777" w:rsidR="00B92C2C" w:rsidRPr="00FE57FC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6"/>
          <w:szCs w:val="26"/>
        </w:rPr>
      </w:pPr>
      <w:r w:rsidRPr="00FE57FC">
        <w:rPr>
          <w:rFonts w:ascii="Garamond" w:hAnsi="Garamond" w:cs="Arial"/>
          <w:b/>
          <w:color w:val="002060"/>
          <w:sz w:val="26"/>
          <w:szCs w:val="26"/>
        </w:rPr>
        <w:t xml:space="preserve">IDENTIFICAÇÃO GERAL </w:t>
      </w:r>
    </w:p>
    <w:p w14:paraId="032C6FE6" w14:textId="77777777" w:rsidR="003A5CC8" w:rsidRPr="00FE57FC" w:rsidRDefault="003A5CC8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</w:p>
    <w:tbl>
      <w:tblPr>
        <w:tblStyle w:val="Tabelacomgrade"/>
        <w:tblW w:w="5000" w:type="pct"/>
        <w:jc w:val="center"/>
        <w:tblBorders>
          <w:top w:val="double" w:sz="12" w:space="0" w:color="002060"/>
          <w:left w:val="double" w:sz="12" w:space="0" w:color="002060"/>
          <w:bottom w:val="double" w:sz="12" w:space="0" w:color="002060"/>
          <w:right w:val="double" w:sz="12" w:space="0" w:color="002060"/>
          <w:insideH w:val="double" w:sz="12" w:space="0" w:color="002060"/>
          <w:insideV w:val="double" w:sz="12" w:space="0" w:color="002060"/>
        </w:tblBorders>
        <w:tblLook w:val="04A0" w:firstRow="1" w:lastRow="0" w:firstColumn="1" w:lastColumn="0" w:noHBand="0" w:noVBand="1"/>
      </w:tblPr>
      <w:tblGrid>
        <w:gridCol w:w="3289"/>
        <w:gridCol w:w="5431"/>
      </w:tblGrid>
      <w:tr w:rsidR="00FE57FC" w:rsidRPr="00FE57FC" w14:paraId="151C4E25" w14:textId="77777777" w:rsidTr="008C4EC7">
        <w:trPr>
          <w:jc w:val="center"/>
        </w:trPr>
        <w:tc>
          <w:tcPr>
            <w:tcW w:w="1886" w:type="pct"/>
            <w:vAlign w:val="center"/>
          </w:tcPr>
          <w:p w14:paraId="5ACD788F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CNPJ</w:t>
            </w:r>
            <w:r w:rsidR="00621601"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3114" w:type="pct"/>
            <w:vAlign w:val="center"/>
          </w:tcPr>
          <w:p w14:paraId="1796F406" w14:textId="77777777" w:rsidR="004F7EB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17.909.518/0001-45</w:t>
            </w:r>
          </w:p>
        </w:tc>
      </w:tr>
      <w:tr w:rsidR="00FE57FC" w:rsidRPr="00FE57FC" w14:paraId="56F29C90" w14:textId="77777777" w:rsidTr="008C4EC7">
        <w:trPr>
          <w:jc w:val="center"/>
        </w:trPr>
        <w:tc>
          <w:tcPr>
            <w:tcW w:w="1886" w:type="pct"/>
            <w:vAlign w:val="center"/>
          </w:tcPr>
          <w:p w14:paraId="79EE8B40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NIRE:</w:t>
            </w:r>
          </w:p>
        </w:tc>
        <w:tc>
          <w:tcPr>
            <w:tcW w:w="3114" w:type="pct"/>
            <w:vAlign w:val="center"/>
          </w:tcPr>
          <w:p w14:paraId="4F60FDBA" w14:textId="77777777" w:rsidR="004F7EB8" w:rsidRPr="00FE57FC" w:rsidRDefault="004425AF" w:rsidP="003048E2">
            <w:pPr>
              <w:tabs>
                <w:tab w:val="left" w:pos="1029"/>
              </w:tabs>
              <w:ind w:firstLine="33"/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5350000520-0</w:t>
            </w:r>
          </w:p>
        </w:tc>
      </w:tr>
      <w:tr w:rsidR="00FE57FC" w:rsidRPr="00FE57FC" w14:paraId="5F16FFD5" w14:textId="77777777" w:rsidTr="008C4EC7">
        <w:trPr>
          <w:jc w:val="center"/>
        </w:trPr>
        <w:tc>
          <w:tcPr>
            <w:tcW w:w="1886" w:type="pct"/>
            <w:vAlign w:val="center"/>
          </w:tcPr>
          <w:p w14:paraId="346D31E8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Sede: </w:t>
            </w:r>
          </w:p>
        </w:tc>
        <w:tc>
          <w:tcPr>
            <w:tcW w:w="3114" w:type="pct"/>
            <w:vAlign w:val="center"/>
          </w:tcPr>
          <w:p w14:paraId="5C2052D8" w14:textId="77777777" w:rsidR="004F7EB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Brasília/DF</w:t>
            </w:r>
          </w:p>
        </w:tc>
      </w:tr>
      <w:tr w:rsidR="00FE57FC" w:rsidRPr="00FE57FC" w14:paraId="59B4A873" w14:textId="77777777" w:rsidTr="008C4EC7">
        <w:trPr>
          <w:jc w:val="center"/>
        </w:trPr>
        <w:tc>
          <w:tcPr>
            <w:tcW w:w="1886" w:type="pct"/>
            <w:vAlign w:val="center"/>
          </w:tcPr>
          <w:p w14:paraId="106186A4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Tipo de estatal:</w:t>
            </w:r>
          </w:p>
        </w:tc>
        <w:tc>
          <w:tcPr>
            <w:tcW w:w="3114" w:type="pct"/>
            <w:vAlign w:val="center"/>
          </w:tcPr>
          <w:p w14:paraId="08770983" w14:textId="77777777" w:rsidR="004F7EB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Empresa Pública</w:t>
            </w:r>
          </w:p>
        </w:tc>
      </w:tr>
      <w:tr w:rsidR="00FE57FC" w:rsidRPr="00FE57FC" w14:paraId="7050ACDD" w14:textId="77777777" w:rsidTr="008C4EC7">
        <w:trPr>
          <w:jc w:val="center"/>
        </w:trPr>
        <w:tc>
          <w:tcPr>
            <w:tcW w:w="1886" w:type="pct"/>
            <w:vAlign w:val="center"/>
          </w:tcPr>
          <w:p w14:paraId="02AF3705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Acionista controlador: </w:t>
            </w:r>
          </w:p>
        </w:tc>
        <w:tc>
          <w:tcPr>
            <w:tcW w:w="3114" w:type="pct"/>
            <w:vAlign w:val="center"/>
          </w:tcPr>
          <w:p w14:paraId="16DE7C3B" w14:textId="77777777" w:rsidR="004F7EB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União</w:t>
            </w:r>
          </w:p>
        </w:tc>
      </w:tr>
      <w:tr w:rsidR="00FE57FC" w:rsidRPr="00FE57FC" w14:paraId="507FBDBC" w14:textId="77777777" w:rsidTr="008C4EC7">
        <w:trPr>
          <w:jc w:val="center"/>
        </w:trPr>
        <w:tc>
          <w:tcPr>
            <w:tcW w:w="1886" w:type="pct"/>
            <w:vAlign w:val="center"/>
          </w:tcPr>
          <w:p w14:paraId="62048B6D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Tipo societário: </w:t>
            </w:r>
          </w:p>
        </w:tc>
        <w:tc>
          <w:tcPr>
            <w:tcW w:w="3114" w:type="pct"/>
            <w:vAlign w:val="center"/>
          </w:tcPr>
          <w:p w14:paraId="6365B939" w14:textId="77777777" w:rsidR="004F7EB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Sociedade Anônima</w:t>
            </w:r>
          </w:p>
        </w:tc>
      </w:tr>
      <w:tr w:rsidR="00FE57FC" w:rsidRPr="00FE57FC" w14:paraId="6FFFED45" w14:textId="77777777" w:rsidTr="008C4EC7">
        <w:trPr>
          <w:jc w:val="center"/>
        </w:trPr>
        <w:tc>
          <w:tcPr>
            <w:tcW w:w="1886" w:type="pct"/>
            <w:vAlign w:val="center"/>
          </w:tcPr>
          <w:p w14:paraId="4F9EC311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Tipo de capital: </w:t>
            </w:r>
          </w:p>
        </w:tc>
        <w:tc>
          <w:tcPr>
            <w:tcW w:w="3114" w:type="pct"/>
            <w:vAlign w:val="center"/>
          </w:tcPr>
          <w:p w14:paraId="18AE40FD" w14:textId="77777777" w:rsidR="004F7EB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Fechado</w:t>
            </w:r>
          </w:p>
        </w:tc>
      </w:tr>
      <w:tr w:rsidR="00FE57FC" w:rsidRPr="00FE57FC" w14:paraId="42F31143" w14:textId="77777777" w:rsidTr="008C4EC7">
        <w:trPr>
          <w:jc w:val="center"/>
        </w:trPr>
        <w:tc>
          <w:tcPr>
            <w:tcW w:w="1886" w:type="pct"/>
            <w:vAlign w:val="center"/>
          </w:tcPr>
          <w:p w14:paraId="483E5538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Abrangência de atuação: </w:t>
            </w:r>
          </w:p>
        </w:tc>
        <w:tc>
          <w:tcPr>
            <w:tcW w:w="3114" w:type="pct"/>
            <w:vAlign w:val="center"/>
          </w:tcPr>
          <w:p w14:paraId="1A582794" w14:textId="77777777" w:rsidR="004F7EB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Nacional e Internacional</w:t>
            </w:r>
          </w:p>
        </w:tc>
      </w:tr>
      <w:tr w:rsidR="00FE57FC" w:rsidRPr="00FE57FC" w14:paraId="628FE666" w14:textId="77777777" w:rsidTr="008C4EC7">
        <w:trPr>
          <w:jc w:val="center"/>
        </w:trPr>
        <w:tc>
          <w:tcPr>
            <w:tcW w:w="1886" w:type="pct"/>
            <w:vAlign w:val="center"/>
          </w:tcPr>
          <w:p w14:paraId="01EA0F89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Setor de atuação: </w:t>
            </w:r>
          </w:p>
        </w:tc>
        <w:tc>
          <w:tcPr>
            <w:tcW w:w="3114" w:type="pct"/>
            <w:vAlign w:val="center"/>
          </w:tcPr>
          <w:p w14:paraId="0B62A63B" w14:textId="77777777" w:rsidR="004F7EB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Serviços</w:t>
            </w:r>
          </w:p>
        </w:tc>
      </w:tr>
      <w:tr w:rsidR="00FE57FC" w:rsidRPr="00FE57FC" w14:paraId="5ACCFFE5" w14:textId="77777777" w:rsidTr="008C4EC7">
        <w:trPr>
          <w:jc w:val="center"/>
        </w:trPr>
        <w:tc>
          <w:tcPr>
            <w:tcW w:w="1886" w:type="pct"/>
            <w:vAlign w:val="center"/>
          </w:tcPr>
          <w:p w14:paraId="4586B408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Diretor Administrativo e Financeiro </w:t>
            </w:r>
            <w:r w:rsidR="006A2280"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Interino</w:t>
            </w:r>
          </w:p>
        </w:tc>
        <w:tc>
          <w:tcPr>
            <w:tcW w:w="3114" w:type="pct"/>
            <w:vAlign w:val="center"/>
          </w:tcPr>
          <w:p w14:paraId="5BB5716B" w14:textId="77777777" w:rsidR="004F7EB8" w:rsidRPr="00FE57FC" w:rsidRDefault="006A2280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Octávio Luiz </w:t>
            </w:r>
            <w:proofErr w:type="spellStart"/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Bromatti</w:t>
            </w:r>
            <w:proofErr w:type="spellEnd"/>
          </w:p>
        </w:tc>
      </w:tr>
      <w:tr w:rsidR="00FE57FC" w:rsidRPr="00FE57FC" w14:paraId="77AA7261" w14:textId="77777777" w:rsidTr="008C4EC7">
        <w:trPr>
          <w:jc w:val="center"/>
        </w:trPr>
        <w:tc>
          <w:tcPr>
            <w:tcW w:w="1886" w:type="pct"/>
            <w:vAlign w:val="center"/>
          </w:tcPr>
          <w:p w14:paraId="0581CEDC" w14:textId="77777777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Auditores Independentes:</w:t>
            </w:r>
          </w:p>
        </w:tc>
        <w:tc>
          <w:tcPr>
            <w:tcW w:w="3114" w:type="pct"/>
            <w:vAlign w:val="center"/>
          </w:tcPr>
          <w:p w14:paraId="5FE97927" w14:textId="77777777" w:rsidR="004F7EB8" w:rsidRPr="000D5DCB" w:rsidRDefault="003F68F9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0D5DCB">
              <w:rPr>
                <w:rFonts w:ascii="Garamond" w:hAnsi="Garamond" w:cs="Arial"/>
                <w:color w:val="002060"/>
                <w:sz w:val="24"/>
                <w:szCs w:val="24"/>
              </w:rPr>
              <w:t>BDO RCS Auditores Independentes SS</w:t>
            </w:r>
          </w:p>
          <w:p w14:paraId="1AD9C5F4" w14:textId="3129276A" w:rsidR="00046E95" w:rsidRPr="000D5DCB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0D5DCB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Nome: </w:t>
            </w:r>
            <w:r w:rsidR="00F6142F" w:rsidRPr="000D5DCB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Fabiano </w:t>
            </w:r>
            <w:r w:rsidR="000D5DCB" w:rsidRPr="000D5DCB">
              <w:rPr>
                <w:rFonts w:ascii="Garamond" w:hAnsi="Garamond" w:cs="Arial"/>
                <w:color w:val="002060"/>
                <w:sz w:val="24"/>
                <w:szCs w:val="24"/>
              </w:rPr>
              <w:t>de Oliveira Barbosa</w:t>
            </w:r>
          </w:p>
          <w:p w14:paraId="2F8BF3FD" w14:textId="77777777" w:rsidR="00D00648" w:rsidRPr="000D5DCB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0D5DCB">
              <w:rPr>
                <w:rFonts w:ascii="Garamond" w:hAnsi="Garamond" w:cs="Arial"/>
                <w:color w:val="002060"/>
                <w:sz w:val="24"/>
                <w:szCs w:val="24"/>
              </w:rPr>
              <w:t>Telefone: (</w:t>
            </w:r>
            <w:r w:rsidR="003F68F9" w:rsidRPr="000D5DCB">
              <w:rPr>
                <w:rFonts w:ascii="Garamond" w:hAnsi="Garamond" w:cs="Arial"/>
                <w:color w:val="002060"/>
                <w:sz w:val="24"/>
                <w:szCs w:val="24"/>
              </w:rPr>
              <w:t>61</w:t>
            </w:r>
            <w:r w:rsidRPr="000D5DCB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) </w:t>
            </w:r>
            <w:r w:rsidR="003F68F9" w:rsidRPr="000D5DCB">
              <w:rPr>
                <w:rFonts w:ascii="Garamond" w:hAnsi="Garamond" w:cs="Arial"/>
                <w:color w:val="002060"/>
                <w:sz w:val="24"/>
                <w:szCs w:val="24"/>
              </w:rPr>
              <w:t>3322-5190</w:t>
            </w:r>
          </w:p>
          <w:p w14:paraId="271BFC4A" w14:textId="77777777" w:rsidR="00046E95" w:rsidRPr="000D5DCB" w:rsidRDefault="004425AF" w:rsidP="003F68F9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0D5DCB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e-mail: </w:t>
            </w:r>
            <w:r w:rsidR="003F68F9" w:rsidRPr="000D5DCB">
              <w:rPr>
                <w:rFonts w:ascii="Garamond" w:hAnsi="Garamond" w:cs="Arial"/>
                <w:color w:val="002060"/>
                <w:sz w:val="24"/>
                <w:szCs w:val="24"/>
              </w:rPr>
              <w:t>brasilia</w:t>
            </w:r>
            <w:r w:rsidRPr="000D5DCB">
              <w:rPr>
                <w:rFonts w:ascii="Garamond" w:hAnsi="Garamond" w:cs="Arial"/>
                <w:color w:val="002060"/>
                <w:sz w:val="24"/>
                <w:szCs w:val="24"/>
              </w:rPr>
              <w:t>@</w:t>
            </w:r>
            <w:r w:rsidR="003F68F9" w:rsidRPr="000D5DCB">
              <w:rPr>
                <w:rFonts w:ascii="Garamond" w:hAnsi="Garamond" w:cs="Arial"/>
                <w:color w:val="002060"/>
                <w:sz w:val="24"/>
                <w:szCs w:val="24"/>
              </w:rPr>
              <w:t>bdo.com.br</w:t>
            </w:r>
          </w:p>
        </w:tc>
      </w:tr>
      <w:tr w:rsidR="00FE57FC" w:rsidRPr="00FE57FC" w14:paraId="2ABC6CAC" w14:textId="77777777" w:rsidTr="008C4EC7">
        <w:trPr>
          <w:jc w:val="center"/>
        </w:trPr>
        <w:tc>
          <w:tcPr>
            <w:tcW w:w="1886" w:type="pct"/>
            <w:vAlign w:val="center"/>
          </w:tcPr>
          <w:p w14:paraId="60F2E8B9" w14:textId="5687749E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>Conselheiros de Administração:</w:t>
            </w:r>
          </w:p>
        </w:tc>
        <w:tc>
          <w:tcPr>
            <w:tcW w:w="3114" w:type="pct"/>
            <w:vAlign w:val="center"/>
          </w:tcPr>
          <w:p w14:paraId="61D6FA37" w14:textId="419357C8" w:rsidR="004F7EB8" w:rsidRPr="00FE57FC" w:rsidRDefault="004F7EB8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</w:p>
          <w:p w14:paraId="0F49F73C" w14:textId="77777777" w:rsidR="00D00648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Pedro Maciel </w:t>
            </w:r>
            <w:proofErr w:type="spellStart"/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Capeluppi</w:t>
            </w:r>
            <w:proofErr w:type="spellEnd"/>
          </w:p>
          <w:p w14:paraId="7E8048CF" w14:textId="2B89814C" w:rsidR="00992F85" w:rsidRDefault="00992F85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Edson Leonardo </w:t>
            </w:r>
            <w:proofErr w:type="spellStart"/>
            <w:r>
              <w:rPr>
                <w:rFonts w:ascii="Garamond" w:hAnsi="Garamond" w:cs="Arial"/>
                <w:color w:val="002060"/>
                <w:sz w:val="24"/>
                <w:szCs w:val="24"/>
              </w:rPr>
              <w:t>Dalescio</w:t>
            </w:r>
            <w:proofErr w:type="spellEnd"/>
            <w:r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 Sá Teles</w:t>
            </w:r>
          </w:p>
          <w:p w14:paraId="21FB596E" w14:textId="224E39FE" w:rsidR="00992F85" w:rsidRDefault="00992F85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>
              <w:rPr>
                <w:rFonts w:ascii="Garamond" w:hAnsi="Garamond" w:cs="Arial"/>
                <w:color w:val="002060"/>
                <w:sz w:val="24"/>
                <w:szCs w:val="24"/>
              </w:rPr>
              <w:t>Juliana Maria de Almeida Barros</w:t>
            </w:r>
          </w:p>
          <w:p w14:paraId="2E137DC5" w14:textId="68E69700" w:rsidR="00992F85" w:rsidRPr="00FE57FC" w:rsidRDefault="00992F85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>
              <w:rPr>
                <w:rFonts w:ascii="Garamond" w:hAnsi="Garamond" w:cs="Arial"/>
                <w:color w:val="002060"/>
                <w:sz w:val="24"/>
                <w:szCs w:val="24"/>
              </w:rPr>
              <w:t>Gabriela Souza Valente</w:t>
            </w:r>
          </w:p>
          <w:p w14:paraId="3FBCF0FF" w14:textId="77777777" w:rsidR="00D00648" w:rsidRPr="00FE57FC" w:rsidRDefault="00293FF1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Rafael </w:t>
            </w:r>
            <w:proofErr w:type="spellStart"/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Bicca</w:t>
            </w:r>
            <w:proofErr w:type="spellEnd"/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 Machado</w:t>
            </w:r>
          </w:p>
          <w:p w14:paraId="4E764831" w14:textId="72AD47B5" w:rsidR="00116BA1" w:rsidRPr="00FE57FC" w:rsidRDefault="00116BA1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</w:p>
        </w:tc>
      </w:tr>
      <w:tr w:rsidR="004B1E9D" w:rsidRPr="00FE57FC" w14:paraId="1E648447" w14:textId="77777777" w:rsidTr="008C4EC7">
        <w:trPr>
          <w:jc w:val="center"/>
        </w:trPr>
        <w:tc>
          <w:tcPr>
            <w:tcW w:w="1886" w:type="pct"/>
            <w:vAlign w:val="center"/>
          </w:tcPr>
          <w:p w14:paraId="19A1D967" w14:textId="3CCCC6C2" w:rsidR="004F7EB8" w:rsidRPr="00FE57FC" w:rsidRDefault="004425AF" w:rsidP="003048E2">
            <w:pPr>
              <w:ind w:right="34"/>
              <w:jc w:val="both"/>
              <w:rPr>
                <w:rFonts w:ascii="Garamond" w:hAnsi="Garamond" w:cs="Arial"/>
                <w:b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b/>
                <w:color w:val="002060"/>
                <w:sz w:val="24"/>
                <w:szCs w:val="24"/>
              </w:rPr>
              <w:t xml:space="preserve">Administradores: </w:t>
            </w:r>
          </w:p>
        </w:tc>
        <w:tc>
          <w:tcPr>
            <w:tcW w:w="3114" w:type="pct"/>
            <w:vAlign w:val="center"/>
          </w:tcPr>
          <w:p w14:paraId="711E12DD" w14:textId="77777777" w:rsidR="003F68F9" w:rsidRPr="00FE57FC" w:rsidRDefault="003F68F9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Octávio Luiz </w:t>
            </w:r>
            <w:proofErr w:type="spellStart"/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Bromatti</w:t>
            </w:r>
            <w:proofErr w:type="spellEnd"/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 </w:t>
            </w:r>
          </w:p>
          <w:p w14:paraId="29C6AF4F" w14:textId="7CA4CFE7" w:rsidR="00046E95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Cargo: Presidente</w:t>
            </w:r>
            <w:r w:rsidR="006A2280"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 e </w:t>
            </w: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Diretor Administrativo Financeiro</w:t>
            </w:r>
            <w:r w:rsidR="006A2280"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 Interino</w:t>
            </w:r>
          </w:p>
          <w:p w14:paraId="46402977" w14:textId="77777777" w:rsidR="00D00648" w:rsidRPr="00FE57FC" w:rsidRDefault="004425AF" w:rsidP="003048E2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Helena Mulim Venceslau</w:t>
            </w:r>
          </w:p>
          <w:p w14:paraId="268383D0" w14:textId="77777777" w:rsidR="00046E95" w:rsidRPr="00FE57FC" w:rsidRDefault="004425AF" w:rsidP="003F68F9">
            <w:pPr>
              <w:jc w:val="both"/>
              <w:rPr>
                <w:rFonts w:ascii="Garamond" w:hAnsi="Garamond" w:cs="Arial"/>
                <w:color w:val="002060"/>
                <w:sz w:val="24"/>
                <w:szCs w:val="24"/>
              </w:rPr>
            </w:pPr>
            <w:r w:rsidRPr="00FE57FC">
              <w:rPr>
                <w:rFonts w:ascii="Garamond" w:hAnsi="Garamond" w:cs="Arial"/>
                <w:color w:val="002060"/>
                <w:sz w:val="24"/>
                <w:szCs w:val="24"/>
              </w:rPr>
              <w:t xml:space="preserve">Cargo: Diretora de </w:t>
            </w:r>
            <w:r w:rsidR="003F68F9" w:rsidRPr="00FE57FC">
              <w:rPr>
                <w:rFonts w:ascii="Garamond" w:hAnsi="Garamond" w:cs="Arial"/>
                <w:color w:val="002060"/>
                <w:sz w:val="24"/>
                <w:szCs w:val="24"/>
              </w:rPr>
              <w:t>Garantias</w:t>
            </w:r>
          </w:p>
        </w:tc>
      </w:tr>
    </w:tbl>
    <w:p w14:paraId="113356BC" w14:textId="77777777" w:rsidR="00B92C2C" w:rsidRPr="00FE57FC" w:rsidRDefault="00B92C2C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14:paraId="799333F3" w14:textId="77777777" w:rsidR="00BF2110" w:rsidRPr="00FE57FC" w:rsidRDefault="00BF2110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14:paraId="1F3CE053" w14:textId="77777777" w:rsidR="00BF2110" w:rsidRPr="00FE57FC" w:rsidRDefault="00BF2110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14:paraId="7D768B1E" w14:textId="06CF04EC" w:rsidR="004D041E" w:rsidRPr="00FE57FC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FE57FC">
        <w:rPr>
          <w:rFonts w:ascii="Garamond" w:hAnsi="Garamond" w:cs="Arial"/>
          <w:b/>
          <w:color w:val="002060"/>
          <w:sz w:val="24"/>
          <w:szCs w:val="24"/>
        </w:rPr>
        <w:t xml:space="preserve">Data de </w:t>
      </w:r>
      <w:r w:rsidR="00BF2110" w:rsidRPr="00FE57FC">
        <w:rPr>
          <w:rFonts w:ascii="Garamond" w:hAnsi="Garamond" w:cs="Arial"/>
          <w:b/>
          <w:color w:val="002060"/>
          <w:sz w:val="24"/>
          <w:szCs w:val="24"/>
        </w:rPr>
        <w:t>Publicação</w:t>
      </w:r>
      <w:r w:rsidRPr="00FE57FC">
        <w:rPr>
          <w:rFonts w:ascii="Garamond" w:hAnsi="Garamond" w:cs="Arial"/>
          <w:b/>
          <w:color w:val="002060"/>
          <w:sz w:val="24"/>
          <w:szCs w:val="24"/>
        </w:rPr>
        <w:t>:</w:t>
      </w:r>
      <w:r w:rsidR="007F45DF">
        <w:rPr>
          <w:rFonts w:ascii="Garamond" w:hAnsi="Garamond" w:cs="Arial"/>
          <w:b/>
          <w:color w:val="002060"/>
          <w:sz w:val="24"/>
          <w:szCs w:val="24"/>
        </w:rPr>
        <w:t xml:space="preserve"> 28</w:t>
      </w:r>
      <w:bookmarkStart w:id="0" w:name="_GoBack"/>
      <w:bookmarkEnd w:id="0"/>
      <w:r w:rsidR="00FB4DAE">
        <w:rPr>
          <w:rFonts w:ascii="Garamond" w:hAnsi="Garamond" w:cs="Arial"/>
          <w:b/>
          <w:color w:val="002060"/>
          <w:sz w:val="24"/>
          <w:szCs w:val="24"/>
        </w:rPr>
        <w:t>.04.2022.</w:t>
      </w:r>
    </w:p>
    <w:p w14:paraId="47C3FC3A" w14:textId="77777777" w:rsidR="00046E95" w:rsidRPr="00FE57FC" w:rsidRDefault="004B1E9D" w:rsidP="004B1E9D">
      <w:pPr>
        <w:pageBreakBefore/>
        <w:spacing w:before="120" w:after="120" w:line="240" w:lineRule="auto"/>
        <w:jc w:val="center"/>
        <w:rPr>
          <w:rFonts w:ascii="Garamond" w:hAnsi="Garamond" w:cs="Arial"/>
          <w:b/>
          <w:color w:val="002060"/>
          <w:sz w:val="28"/>
          <w:szCs w:val="28"/>
        </w:rPr>
      </w:pPr>
      <w:r w:rsidRPr="00FE57FC">
        <w:rPr>
          <w:rFonts w:ascii="Garamond" w:hAnsi="Garamond" w:cs="Arial"/>
          <w:b/>
          <w:color w:val="002060"/>
          <w:sz w:val="28"/>
          <w:szCs w:val="28"/>
        </w:rPr>
        <w:lastRenderedPageBreak/>
        <w:t xml:space="preserve">POLÍTICAS PÚBLICAS E </w:t>
      </w:r>
      <w:r w:rsidR="004425AF" w:rsidRPr="00FE57FC">
        <w:rPr>
          <w:rFonts w:ascii="Garamond" w:hAnsi="Garamond" w:cs="Arial"/>
          <w:b/>
          <w:color w:val="002060"/>
          <w:sz w:val="28"/>
          <w:szCs w:val="28"/>
        </w:rPr>
        <w:t xml:space="preserve">GOVERNANÇA </w:t>
      </w:r>
      <w:r w:rsidRPr="00FE57FC">
        <w:rPr>
          <w:rFonts w:ascii="Garamond" w:hAnsi="Garamond" w:cs="Arial"/>
          <w:b/>
          <w:color w:val="002060"/>
          <w:sz w:val="28"/>
          <w:szCs w:val="28"/>
        </w:rPr>
        <w:t>CORPORATIVA</w:t>
      </w:r>
    </w:p>
    <w:p w14:paraId="44B02080" w14:textId="77777777" w:rsidR="003A5CC8" w:rsidRPr="00FE57FC" w:rsidRDefault="003A5CC8" w:rsidP="003048E2">
      <w:pPr>
        <w:spacing w:before="120" w:after="120" w:line="240" w:lineRule="auto"/>
        <w:jc w:val="both"/>
        <w:rPr>
          <w:rFonts w:ascii="Garamond" w:hAnsi="Garamond" w:cs="Arial"/>
          <w:color w:val="002060"/>
          <w:sz w:val="24"/>
          <w:szCs w:val="24"/>
        </w:rPr>
      </w:pPr>
    </w:p>
    <w:p w14:paraId="33DBA9C4" w14:textId="77777777" w:rsidR="00046E95" w:rsidRPr="00FE57FC" w:rsidRDefault="004425AF" w:rsidP="00F20193">
      <w:pPr>
        <w:spacing w:before="120" w:after="120"/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>A Lei nº 13.303/2016, em seu art. 8º, inciso I, exige a elaboração de “</w:t>
      </w:r>
      <w:r w:rsidRPr="00FE57FC">
        <w:rPr>
          <w:rFonts w:ascii="Garamond" w:hAnsi="Garamond" w:cs="Arial"/>
          <w:i/>
          <w:color w:val="002060"/>
          <w:sz w:val="24"/>
          <w:szCs w:val="24"/>
        </w:rPr>
        <w:t>carta anual, subscrita pelos membros do Conselho de Administração, com a explicitação dos compromissos de consecução de objetivos de políticas públicas pela empresa pública, pela sociedade de economia mista e por suas subsidiárias, em atendimento ao interesse coletivo ou ao imperativo de segurança nacional que justificou a autorização para suas respectivas criações, com definição clara dos recursos a serem empregados para esse fim, bem como dos impactos econômico-financeiros da consecução desses objetivos, mensuráveis por meio de indicadores objetivos</w:t>
      </w:r>
      <w:r w:rsidRPr="00FE57FC">
        <w:rPr>
          <w:rFonts w:ascii="Garamond" w:hAnsi="Garamond" w:cs="Arial"/>
          <w:color w:val="002060"/>
          <w:sz w:val="24"/>
          <w:szCs w:val="24"/>
        </w:rPr>
        <w:t>”. Essas informações estão detalhadas a seguir.</w:t>
      </w:r>
    </w:p>
    <w:p w14:paraId="0D0C80D3" w14:textId="77777777" w:rsidR="003A5CC8" w:rsidRPr="00FE57FC" w:rsidRDefault="003A5CC8" w:rsidP="00F20193">
      <w:pPr>
        <w:spacing w:before="120" w:after="120"/>
        <w:jc w:val="both"/>
        <w:rPr>
          <w:rFonts w:ascii="Garamond" w:hAnsi="Garamond" w:cs="Arial"/>
          <w:color w:val="002060"/>
          <w:sz w:val="24"/>
          <w:szCs w:val="24"/>
        </w:rPr>
      </w:pPr>
    </w:p>
    <w:p w14:paraId="33B6D01B" w14:textId="77777777" w:rsidR="00046E95" w:rsidRPr="00FE57FC" w:rsidRDefault="004425AF" w:rsidP="00F20193">
      <w:pPr>
        <w:spacing w:before="120" w:after="120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FE57FC">
        <w:rPr>
          <w:rFonts w:ascii="Garamond" w:hAnsi="Garamond" w:cs="Arial"/>
          <w:b/>
          <w:color w:val="002060"/>
          <w:sz w:val="24"/>
          <w:szCs w:val="24"/>
        </w:rPr>
        <w:t>1. Interesse público subjacente às atividades empresariais</w:t>
      </w:r>
    </w:p>
    <w:p w14:paraId="075A7128" w14:textId="77777777" w:rsidR="00243E42" w:rsidRPr="00FE57FC" w:rsidRDefault="004425AF" w:rsidP="00F20193">
      <w:pPr>
        <w:spacing w:before="120" w:after="120"/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 xml:space="preserve">De acordo com os artigos </w:t>
      </w:r>
      <w:r w:rsidR="00621601" w:rsidRPr="00FE57FC">
        <w:rPr>
          <w:rFonts w:ascii="Garamond" w:hAnsi="Garamond" w:cs="Arial"/>
          <w:color w:val="002060"/>
          <w:sz w:val="24"/>
          <w:szCs w:val="24"/>
        </w:rPr>
        <w:t xml:space="preserve">33, </w:t>
      </w:r>
      <w:r w:rsidRPr="00FE57FC">
        <w:rPr>
          <w:rFonts w:ascii="Garamond" w:hAnsi="Garamond" w:cs="Arial"/>
          <w:color w:val="002060"/>
          <w:sz w:val="24"/>
          <w:szCs w:val="24"/>
        </w:rPr>
        <w:t>38 e 57 da Lei nº 12.712, de 30</w:t>
      </w:r>
      <w:r w:rsidR="00952C2C" w:rsidRPr="00FE57FC">
        <w:rPr>
          <w:rFonts w:ascii="Garamond" w:hAnsi="Garamond" w:cs="Arial"/>
          <w:color w:val="002060"/>
          <w:sz w:val="24"/>
          <w:szCs w:val="24"/>
        </w:rPr>
        <w:t>/</w:t>
      </w:r>
      <w:r w:rsidRPr="00FE57FC">
        <w:rPr>
          <w:rFonts w:ascii="Garamond" w:hAnsi="Garamond" w:cs="Arial"/>
          <w:color w:val="002060"/>
          <w:sz w:val="24"/>
          <w:szCs w:val="24"/>
        </w:rPr>
        <w:t>08</w:t>
      </w:r>
      <w:r w:rsidR="00952C2C" w:rsidRPr="00FE57FC">
        <w:rPr>
          <w:rFonts w:ascii="Garamond" w:hAnsi="Garamond" w:cs="Arial"/>
          <w:color w:val="002060"/>
          <w:sz w:val="24"/>
          <w:szCs w:val="24"/>
        </w:rPr>
        <w:t>/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2012, a ABGF tem por objeto: </w:t>
      </w:r>
    </w:p>
    <w:p w14:paraId="33B3BABD" w14:textId="77777777" w:rsidR="00243E42" w:rsidRPr="00FE57FC" w:rsidRDefault="004425AF" w:rsidP="00F20193">
      <w:pPr>
        <w:spacing w:before="120" w:after="120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" w:name="art38i"/>
      <w:bookmarkEnd w:id="1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I – </w:t>
      </w:r>
      <w:proofErr w:type="gramStart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</w:t>
      </w:r>
      <w:proofErr w:type="gramEnd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concessão de garantias contra riscos:</w:t>
      </w:r>
    </w:p>
    <w:p w14:paraId="110FA8C6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2" w:name="art38ia"/>
      <w:bookmarkEnd w:id="2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a) de morte e invalidez permanente (MIP) do mutuário, em operações de crédito habitacional no âmbito de programas ou instituições oficiais;</w:t>
      </w:r>
    </w:p>
    <w:p w14:paraId="20CA6BAE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3" w:name="art38ib"/>
      <w:bookmarkEnd w:id="3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b) de danos físicos ao imóvel (DFI), em operações de crédito habitacional no âmbito de programas ou instituições oficiais;</w:t>
      </w:r>
    </w:p>
    <w:p w14:paraId="1091AB16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4" w:name="art38ic"/>
      <w:bookmarkEnd w:id="4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c) de crédito, em operações de crédito habitacional, no âmbito de programas ou instituições oficiais;</w:t>
      </w:r>
    </w:p>
    <w:p w14:paraId="3F5D194C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5" w:name="art38id"/>
      <w:bookmarkEnd w:id="5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d) comerciais, em operações de crédito ao comércio exterior com prazo superior a 2 (dois) anos;</w:t>
      </w:r>
    </w:p>
    <w:p w14:paraId="71A05C30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6" w:name="art38ie"/>
      <w:bookmarkEnd w:id="6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e) políticos e extraordinários, em operações de crédito ao comércio exterior de qualquer prazo;</w:t>
      </w:r>
    </w:p>
    <w:p w14:paraId="2FFD86A3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7" w:name="art38if"/>
      <w:bookmarkEnd w:id="7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f) de descumprimento de obrigações contratuais referentes a operações de exportação de bens ou serviços, conforme garantias previstas em estatuto;</w:t>
      </w:r>
    </w:p>
    <w:p w14:paraId="2C22F5F4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8" w:name="art38ig"/>
      <w:bookmarkEnd w:id="8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g) de crédito, em operações de aquisição de máquinas e implementos agrícolas, no âmbito de programas ou instituições oficiais;</w:t>
      </w:r>
    </w:p>
    <w:p w14:paraId="54426A34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9" w:name="art38ih"/>
      <w:bookmarkEnd w:id="9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h) de crédito, em operações a microempreendedores individuais, autônomos, micr</w:t>
      </w:r>
      <w:r w:rsidR="002118B7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o, pequenas e médias empresas; </w:t>
      </w:r>
    </w:p>
    <w:p w14:paraId="12F1418F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0" w:name="art38i.i"/>
      <w:bookmarkEnd w:id="10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i) de crédito educativo no âmbito de programas ou instituições oficiais;</w:t>
      </w:r>
    </w:p>
    <w:p w14:paraId="4C6CB74E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1" w:name="art38ij"/>
      <w:bookmarkEnd w:id="11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j) comerciais, em operações de crédito ao comércio exterior para micro, pequenas e médias empresas; e</w:t>
      </w:r>
    </w:p>
    <w:p w14:paraId="01C1198F" w14:textId="77777777" w:rsidR="00243E42" w:rsidRPr="00FE57FC" w:rsidRDefault="004425AF" w:rsidP="00F20193">
      <w:pPr>
        <w:spacing w:before="120" w:after="120"/>
        <w:ind w:left="284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2" w:name="art38ik"/>
      <w:bookmarkEnd w:id="12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k) do mercado de seguros rurais privados, na forma de cobertura suplementar, nas modalidades agrícola, pecuária, aquícola, florestal e de penhor rural.</w:t>
      </w:r>
    </w:p>
    <w:p w14:paraId="67FE3DD7" w14:textId="77777777" w:rsidR="00243E42" w:rsidRPr="00FE57FC" w:rsidRDefault="004425AF" w:rsidP="00F20193">
      <w:pPr>
        <w:spacing w:before="120" w:after="120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3" w:name="art38ii"/>
      <w:bookmarkStart w:id="14" w:name="art38ii.."/>
      <w:bookmarkEnd w:id="13"/>
      <w:bookmarkEnd w:id="14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II – a constituição, a administração, a gestão e a representação de fundos garantidores e de outros fundos de interesse da União; </w:t>
      </w:r>
    </w:p>
    <w:p w14:paraId="1F975879" w14:textId="77777777" w:rsidR="00243E42" w:rsidRPr="00FE57FC" w:rsidRDefault="004425AF" w:rsidP="00F20193">
      <w:pPr>
        <w:spacing w:before="120" w:after="120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5" w:name="art38iii"/>
      <w:bookmarkEnd w:id="15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lastRenderedPageBreak/>
        <w:t>III – a constituição, administração, gestão e representação de fundos que tenham por único objetivo a cobertura suplementar dos riscos de seguro rural nas modalidades agrícola, pecuária, aquícola e florestal, desde que autorizada pela legislação aplicável aos seguros privados, observadas as disposições estabelecidas pelo órgão regulador de seguros;</w:t>
      </w:r>
    </w:p>
    <w:p w14:paraId="0C29CBA3" w14:textId="77777777" w:rsidR="00243E42" w:rsidRPr="00FE57FC" w:rsidRDefault="004425AF" w:rsidP="00F20193">
      <w:pPr>
        <w:spacing w:before="120" w:after="120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bookmarkStart w:id="16" w:name="art38iv"/>
      <w:bookmarkStart w:id="17" w:name="art38iv."/>
      <w:bookmarkEnd w:id="16"/>
      <w:bookmarkEnd w:id="17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IV – a constituição, a administração, a gestão e a representação do fundo de que trata o </w:t>
      </w:r>
      <w:hyperlink r:id="rId9" w:anchor="art10" w:history="1">
        <w:r w:rsidRPr="00FE57F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art. 10 da Lei nº 8.374, de 30</w:t>
        </w:r>
        <w:r w:rsidR="0034536B" w:rsidRPr="00FE57F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.12.</w:t>
        </w:r>
        <w:r w:rsidRPr="00FE57F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1991</w:t>
        </w:r>
      </w:hyperlink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, observadas as disposições estabelecidas pelo órgão regulador de seguros;</w:t>
      </w:r>
    </w:p>
    <w:p w14:paraId="3A75F01A" w14:textId="49862950" w:rsidR="003048E2" w:rsidRPr="00FE57FC" w:rsidRDefault="00621601" w:rsidP="00F20193">
      <w:pPr>
        <w:spacing w:before="120" w:after="120"/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Além disso, a ABGF é a Empresa: (i) contratada para</w:t>
      </w:r>
      <w:r w:rsidR="004425AF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a execução de serviços relacionados ao seguro de crédito à exportação, inclusive análise, acompanhamento, gestão das operações de prestação de garantias, nos termos do art. 4º da Lei nº 6.704, de 26</w:t>
      </w:r>
      <w:r w:rsidR="00952C2C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/</w:t>
      </w:r>
      <w:r w:rsidR="004425AF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10</w:t>
      </w:r>
      <w:r w:rsidR="00952C2C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/</w:t>
      </w:r>
      <w:r w:rsidR="004425AF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1979; 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(</w:t>
      </w:r>
      <w:proofErr w:type="spellStart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ii</w:t>
      </w:r>
      <w:proofErr w:type="spellEnd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) encarregada da </w:t>
      </w:r>
      <w:r w:rsidR="004425AF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gestão do FESR até a completa liquidação das obrigações desse Fundo, observadas as regras estabelecidas pelo CNSP, conforme previsto no </w:t>
      </w:r>
      <w:hyperlink r:id="rId10" w:anchor="art18" w:history="1">
        <w:r w:rsidR="004425AF" w:rsidRPr="00FE57F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art. 18 da Lei Complementar nº 137, de 26</w:t>
        </w:r>
        <w:r w:rsidR="0034536B" w:rsidRPr="00FE57F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.</w:t>
        </w:r>
        <w:r w:rsidR="004425AF" w:rsidRPr="00FE57F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08</w:t>
        </w:r>
        <w:r w:rsidR="0034536B" w:rsidRPr="00FE57F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.</w:t>
        </w:r>
        <w:r w:rsidR="004425AF" w:rsidRPr="00FE57FC">
          <w:rPr>
            <w:rFonts w:ascii="Garamond" w:eastAsia="Times New Roman" w:hAnsi="Garamond" w:cs="Arial"/>
            <w:color w:val="002060"/>
            <w:sz w:val="24"/>
            <w:szCs w:val="24"/>
            <w:lang w:eastAsia="pt-BR"/>
          </w:rPr>
          <w:t>2010</w:t>
        </w:r>
      </w:hyperlink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; e (</w:t>
      </w:r>
      <w:proofErr w:type="spellStart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iii</w:t>
      </w:r>
      <w:proofErr w:type="spellEnd"/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) responsável por administrar o</w:t>
      </w:r>
      <w:r w:rsidR="003048E2" w:rsidRPr="00FE57FC">
        <w:rPr>
          <w:rFonts w:ascii="Garamond" w:hAnsi="Garamond" w:cs="Arial"/>
          <w:color w:val="002060"/>
          <w:sz w:val="24"/>
          <w:szCs w:val="24"/>
        </w:rPr>
        <w:t xml:space="preserve"> Fundo Garantidor de Infraestrutura (FGIE). </w:t>
      </w:r>
    </w:p>
    <w:p w14:paraId="5988DEA6" w14:textId="1353548D" w:rsidR="004B1E9D" w:rsidRPr="00FE57FC" w:rsidRDefault="00621601" w:rsidP="00F20193">
      <w:pPr>
        <w:spacing w:before="120" w:after="120"/>
        <w:jc w:val="both"/>
        <w:rPr>
          <w:rFonts w:ascii="Garamond" w:hAnsi="Garamond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 xml:space="preserve">Contudo, de acordo com o </w:t>
      </w:r>
      <w:r w:rsidR="00AC25A9" w:rsidRPr="00FE57FC">
        <w:rPr>
          <w:rFonts w:ascii="Garamond" w:hAnsi="Garamond" w:cs="Arial"/>
          <w:color w:val="002060"/>
          <w:sz w:val="24"/>
          <w:szCs w:val="24"/>
        </w:rPr>
        <w:t xml:space="preserve">Decreto </w:t>
      </w:r>
      <w:r w:rsidRPr="00FE57FC">
        <w:rPr>
          <w:rFonts w:ascii="Garamond" w:hAnsi="Garamond" w:cs="Arial"/>
          <w:color w:val="002060"/>
          <w:sz w:val="24"/>
          <w:szCs w:val="24"/>
        </w:rPr>
        <w:t>nº 10.007, de 05</w:t>
      </w:r>
      <w:r w:rsidR="0034536B" w:rsidRPr="00FE57FC">
        <w:rPr>
          <w:rFonts w:ascii="Garamond" w:hAnsi="Garamond" w:cs="Arial"/>
          <w:color w:val="002060"/>
          <w:sz w:val="24"/>
          <w:szCs w:val="24"/>
        </w:rPr>
        <w:t>.</w:t>
      </w:r>
      <w:r w:rsidRPr="00FE57FC">
        <w:rPr>
          <w:rFonts w:ascii="Garamond" w:hAnsi="Garamond" w:cs="Arial"/>
          <w:color w:val="002060"/>
          <w:sz w:val="24"/>
          <w:szCs w:val="24"/>
        </w:rPr>
        <w:t>09</w:t>
      </w:r>
      <w:r w:rsidR="0034536B" w:rsidRPr="00FE57FC">
        <w:rPr>
          <w:rFonts w:ascii="Garamond" w:hAnsi="Garamond" w:cs="Arial"/>
          <w:color w:val="002060"/>
          <w:sz w:val="24"/>
          <w:szCs w:val="24"/>
        </w:rPr>
        <w:t>.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2019, </w:t>
      </w:r>
      <w:r w:rsidR="004B1E9D" w:rsidRPr="00FE57FC">
        <w:rPr>
          <w:rFonts w:ascii="Garamond" w:hAnsi="Garamond" w:cs="Arial"/>
          <w:color w:val="002060"/>
          <w:sz w:val="24"/>
          <w:szCs w:val="24"/>
        </w:rPr>
        <w:t xml:space="preserve">a ABGF foi qualificada no âmbito do Programa de Parcerias de Investimentos da Presidência da República </w:t>
      </w:r>
      <w:r w:rsidR="00DC5D98" w:rsidRPr="00FE57FC">
        <w:rPr>
          <w:rFonts w:ascii="Garamond" w:hAnsi="Garamond" w:cs="Arial"/>
          <w:color w:val="002060"/>
          <w:sz w:val="24"/>
          <w:szCs w:val="24"/>
        </w:rPr>
        <w:t>(</w:t>
      </w:r>
      <w:r w:rsidR="004B1E9D" w:rsidRPr="00FE57FC">
        <w:rPr>
          <w:rFonts w:ascii="Garamond" w:hAnsi="Garamond" w:cs="Arial"/>
          <w:color w:val="002060"/>
          <w:sz w:val="24"/>
          <w:szCs w:val="24"/>
        </w:rPr>
        <w:t>PPI</w:t>
      </w:r>
      <w:r w:rsidR="00DC5D98" w:rsidRPr="00FE57FC">
        <w:rPr>
          <w:rFonts w:ascii="Garamond" w:hAnsi="Garamond" w:cs="Arial"/>
          <w:color w:val="002060"/>
          <w:sz w:val="24"/>
          <w:szCs w:val="24"/>
        </w:rPr>
        <w:t>)</w:t>
      </w:r>
      <w:r w:rsidR="004B1E9D" w:rsidRPr="00FE57FC">
        <w:rPr>
          <w:rFonts w:ascii="Garamond" w:hAnsi="Garamond" w:cs="Arial"/>
          <w:color w:val="002060"/>
          <w:sz w:val="24"/>
          <w:szCs w:val="24"/>
        </w:rPr>
        <w:t xml:space="preserve"> e incluída no Programa Nacional de Desestatização </w:t>
      </w:r>
      <w:r w:rsidR="00DC5D98" w:rsidRPr="00FE57FC">
        <w:rPr>
          <w:rFonts w:ascii="Garamond" w:hAnsi="Garamond" w:cs="Arial"/>
          <w:color w:val="002060"/>
          <w:sz w:val="24"/>
          <w:szCs w:val="24"/>
        </w:rPr>
        <w:t>(</w:t>
      </w:r>
      <w:r w:rsidR="004B1E9D" w:rsidRPr="00FE57FC">
        <w:rPr>
          <w:rFonts w:ascii="Garamond" w:hAnsi="Garamond" w:cs="Arial"/>
          <w:color w:val="002060"/>
          <w:sz w:val="24"/>
          <w:szCs w:val="24"/>
        </w:rPr>
        <w:t>PND</w:t>
      </w:r>
      <w:r w:rsidR="00DC5D98" w:rsidRPr="00FE57FC">
        <w:rPr>
          <w:rFonts w:ascii="Garamond" w:hAnsi="Garamond" w:cs="Arial"/>
          <w:color w:val="002060"/>
          <w:sz w:val="24"/>
          <w:szCs w:val="24"/>
        </w:rPr>
        <w:t xml:space="preserve">), sendo o </w:t>
      </w:r>
      <w:r w:rsidR="004B1E9D" w:rsidRPr="00FE57FC">
        <w:rPr>
          <w:rFonts w:ascii="Garamond" w:hAnsi="Garamond" w:cs="Arial"/>
          <w:color w:val="002060"/>
          <w:sz w:val="24"/>
          <w:szCs w:val="24"/>
        </w:rPr>
        <w:t xml:space="preserve">Banco Nacional de Desenvolvimento Econômico e Social </w:t>
      </w:r>
      <w:r w:rsidR="00DC5D98" w:rsidRPr="00FE57FC">
        <w:rPr>
          <w:rFonts w:ascii="Garamond" w:hAnsi="Garamond" w:cs="Arial"/>
          <w:color w:val="002060"/>
          <w:sz w:val="24"/>
          <w:szCs w:val="24"/>
        </w:rPr>
        <w:t>(</w:t>
      </w:r>
      <w:r w:rsidR="004B1E9D" w:rsidRPr="00FE57FC">
        <w:rPr>
          <w:rFonts w:ascii="Garamond" w:hAnsi="Garamond" w:cs="Arial"/>
          <w:color w:val="002060"/>
          <w:sz w:val="24"/>
          <w:szCs w:val="24"/>
        </w:rPr>
        <w:t>BNDES</w:t>
      </w:r>
      <w:r w:rsidR="00DC5D98" w:rsidRPr="00FE57FC">
        <w:rPr>
          <w:rFonts w:ascii="Garamond" w:hAnsi="Garamond" w:cs="Arial"/>
          <w:color w:val="002060"/>
          <w:sz w:val="24"/>
          <w:szCs w:val="24"/>
        </w:rPr>
        <w:t xml:space="preserve">) o órgão designado </w:t>
      </w:r>
      <w:r w:rsidR="004B1E9D" w:rsidRPr="00FE57FC">
        <w:rPr>
          <w:rFonts w:ascii="Garamond" w:hAnsi="Garamond" w:cs="Arial"/>
          <w:color w:val="002060"/>
          <w:sz w:val="24"/>
          <w:szCs w:val="24"/>
        </w:rPr>
        <w:t>como responsável pela execução e acompanhamento dos atos necessários à desestatização da ABGF, nos termos do disposto no </w:t>
      </w:r>
      <w:hyperlink r:id="rId11" w:anchor="art6%C2%A71" w:history="1">
        <w:r w:rsidR="004B1E9D" w:rsidRPr="00FE57FC">
          <w:rPr>
            <w:rFonts w:ascii="Garamond" w:hAnsi="Garamond"/>
            <w:color w:val="002060"/>
            <w:sz w:val="24"/>
            <w:szCs w:val="24"/>
          </w:rPr>
          <w:t xml:space="preserve">§ 1º do art. 6º da Lei nº 9.491, de </w:t>
        </w:r>
        <w:r w:rsidR="00DA0F18">
          <w:rPr>
            <w:rFonts w:ascii="Garamond" w:hAnsi="Garamond"/>
            <w:color w:val="002060"/>
            <w:sz w:val="24"/>
            <w:szCs w:val="24"/>
          </w:rPr>
          <w:t>0</w:t>
        </w:r>
        <w:r w:rsidR="004B1E9D" w:rsidRPr="00FE57FC">
          <w:rPr>
            <w:rFonts w:ascii="Garamond" w:hAnsi="Garamond"/>
            <w:color w:val="002060"/>
            <w:sz w:val="24"/>
            <w:szCs w:val="24"/>
          </w:rPr>
          <w:t>9 de setembro de 1997. </w:t>
        </w:r>
      </w:hyperlink>
    </w:p>
    <w:p w14:paraId="72D271E6" w14:textId="76D6D4D6" w:rsidR="00DC5D98" w:rsidRPr="00FE57FC" w:rsidRDefault="00903A77" w:rsidP="00F20193">
      <w:pPr>
        <w:spacing w:before="120" w:after="120"/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>Até o final do exercício de 202</w:t>
      </w:r>
      <w:r w:rsidR="00DA0F18">
        <w:rPr>
          <w:rFonts w:ascii="Garamond" w:hAnsi="Garamond" w:cs="Arial"/>
          <w:color w:val="002060"/>
          <w:sz w:val="24"/>
          <w:szCs w:val="24"/>
        </w:rPr>
        <w:t>1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 não havia sido definido o modelo de desestatização a ser adotado para a ABGF</w:t>
      </w:r>
      <w:r w:rsidR="00DC5D98" w:rsidRPr="00FE57FC">
        <w:rPr>
          <w:rFonts w:ascii="Garamond" w:hAnsi="Garamond" w:cs="Arial"/>
          <w:color w:val="002060"/>
          <w:sz w:val="24"/>
          <w:szCs w:val="24"/>
        </w:rPr>
        <w:t xml:space="preserve">.  </w:t>
      </w:r>
    </w:p>
    <w:p w14:paraId="0E687E77" w14:textId="77777777" w:rsidR="007C594A" w:rsidRPr="00FE57FC" w:rsidRDefault="007C66BC" w:rsidP="007C66BC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bookmarkStart w:id="18" w:name="_Toc414015049"/>
      <w:bookmarkStart w:id="19" w:name="_Toc427684012"/>
      <w:r w:rsidRPr="00FE57FC">
        <w:rPr>
          <w:rFonts w:ascii="Garamond" w:hAnsi="Garamond" w:cs="Arial"/>
          <w:b/>
          <w:color w:val="002060"/>
          <w:sz w:val="24"/>
          <w:szCs w:val="24"/>
        </w:rPr>
        <w:t xml:space="preserve">2. Atividades Desenvolvidas </w:t>
      </w:r>
    </w:p>
    <w:p w14:paraId="59C86316" w14:textId="2413F6D2" w:rsidR="00D07DF5" w:rsidRPr="00FE57FC" w:rsidRDefault="00D07DF5" w:rsidP="00381667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 xml:space="preserve">A ABGF, no cumprimento de seu objeto, administra o Fundo Garantidor de Infraestrutura (FGIE), efetua a gestão do Fundo de Estabilidade do Seguro Rural (FESR) e presta serviços para a Secretaria Executiva da Câmara de Comércio Exterior do Ministério da Economia (SE-CAMEX/ME) para a execução os serviços relacionados ao Seguro de Crédito às Exportações (SCE) ao amparo do Fundo Garantidor de Exportação (FGE). </w:t>
      </w:r>
      <w:r w:rsidR="0034536B" w:rsidRPr="00FE57FC">
        <w:rPr>
          <w:rFonts w:ascii="Garamond" w:hAnsi="Garamond" w:cs="Arial"/>
          <w:color w:val="002060"/>
          <w:sz w:val="24"/>
          <w:szCs w:val="24"/>
        </w:rPr>
        <w:t>A Empresa constituiu, ainda, o Fundo de Indenizações do Seguro de Embarcações (FUNDPEM), que não se encontra operacional.</w:t>
      </w:r>
      <w:r w:rsidR="00DE570B" w:rsidRPr="00FE57FC">
        <w:rPr>
          <w:rFonts w:ascii="Garamond" w:hAnsi="Garamond" w:cs="Arial"/>
          <w:color w:val="002060"/>
          <w:sz w:val="24"/>
          <w:szCs w:val="24"/>
        </w:rPr>
        <w:t xml:space="preserve"> </w:t>
      </w:r>
    </w:p>
    <w:p w14:paraId="778E243F" w14:textId="7E3D7948" w:rsidR="00D07DF5" w:rsidRDefault="00D07DF5" w:rsidP="00A23546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 xml:space="preserve">Considerando o direcionamento estratégico da ABGF, o Conselho de </w:t>
      </w:r>
      <w:r w:rsidR="00DE570B" w:rsidRPr="00FE57FC">
        <w:rPr>
          <w:rFonts w:ascii="Garamond" w:hAnsi="Garamond" w:cs="Arial"/>
          <w:color w:val="002060"/>
          <w:sz w:val="24"/>
          <w:szCs w:val="24"/>
        </w:rPr>
        <w:t>Administração, em cumprimento às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DE570B" w:rsidRPr="00FE57FC">
        <w:rPr>
          <w:rFonts w:ascii="Garamond" w:hAnsi="Garamond" w:cs="Arial"/>
          <w:color w:val="002060"/>
          <w:sz w:val="24"/>
          <w:szCs w:val="24"/>
        </w:rPr>
        <w:t xml:space="preserve">diretrizes emanadas pela 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União, </w:t>
      </w:r>
      <w:r w:rsidR="00DE570B" w:rsidRPr="00FE57FC">
        <w:rPr>
          <w:rFonts w:ascii="Garamond" w:hAnsi="Garamond" w:cs="Arial"/>
          <w:color w:val="002060"/>
          <w:sz w:val="24"/>
          <w:szCs w:val="24"/>
        </w:rPr>
        <w:t>por meio do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 Ministério Supervisor, orientará a destinação das linhas de negócio quanto a sua gestão, transferência para outras entidades ou descontinuidade dos serviços atualmente prestados pela Empresa.</w:t>
      </w:r>
    </w:p>
    <w:p w14:paraId="1762AE5A" w14:textId="77777777" w:rsidR="006E03C0" w:rsidRPr="00FE57FC" w:rsidRDefault="006E03C0" w:rsidP="00A23546">
      <w:pPr>
        <w:jc w:val="both"/>
        <w:rPr>
          <w:rFonts w:ascii="Garamond" w:hAnsi="Garamond" w:cs="Arial"/>
          <w:color w:val="002060"/>
          <w:sz w:val="24"/>
          <w:szCs w:val="24"/>
        </w:rPr>
      </w:pPr>
    </w:p>
    <w:p w14:paraId="23117C40" w14:textId="574010C4" w:rsidR="003048E2" w:rsidRDefault="00621601" w:rsidP="003048E2">
      <w:pPr>
        <w:pStyle w:val="Ttulo3"/>
        <w:rPr>
          <w:rFonts w:ascii="Garamond" w:hAnsi="Garamond"/>
          <w:color w:val="002060"/>
        </w:rPr>
      </w:pPr>
      <w:r w:rsidRPr="00FE57FC">
        <w:rPr>
          <w:rFonts w:ascii="Garamond" w:hAnsi="Garamond"/>
          <w:color w:val="002060"/>
        </w:rPr>
        <w:t xml:space="preserve">2.1 </w:t>
      </w:r>
      <w:r w:rsidR="003048E2" w:rsidRPr="00FE57FC">
        <w:rPr>
          <w:rFonts w:ascii="Garamond" w:hAnsi="Garamond"/>
          <w:color w:val="002060"/>
        </w:rPr>
        <w:t>Fundo Garantidor de Infraestrutura – FGIE</w:t>
      </w:r>
      <w:bookmarkEnd w:id="18"/>
      <w:bookmarkEnd w:id="19"/>
    </w:p>
    <w:p w14:paraId="016B7DDD" w14:textId="77777777" w:rsidR="00DA0F18" w:rsidRPr="00F46A27" w:rsidRDefault="00DA0F18" w:rsidP="00F46A27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46A27">
        <w:rPr>
          <w:rFonts w:ascii="Garamond" w:hAnsi="Garamond" w:cs="Arial"/>
          <w:color w:val="002060"/>
          <w:sz w:val="24"/>
          <w:szCs w:val="24"/>
        </w:rPr>
        <w:t>O FGIE é um fundo de natureza privada, tem patrimônio próprio separado do patrimônio dos cotistas e da Administradora, estando sujeito à direitos e obrigações próprias, não contando com qualquer tipo de garantia ou aval por parte do poder público, bem como responde por suas obrigações até o limite dos bens e direitos integrantes do seu patrimônio.</w:t>
      </w:r>
    </w:p>
    <w:p w14:paraId="13C8258F" w14:textId="77777777" w:rsidR="00DA0F18" w:rsidRPr="00F46A27" w:rsidRDefault="00DA0F18" w:rsidP="00F46A27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46A27">
        <w:rPr>
          <w:rFonts w:ascii="Garamond" w:hAnsi="Garamond" w:cs="Arial"/>
          <w:color w:val="002060"/>
          <w:sz w:val="24"/>
          <w:szCs w:val="24"/>
        </w:rPr>
        <w:lastRenderedPageBreak/>
        <w:t>O Fundo foi constituído em 28 de novembro de 2014 pela ABGF, em conformidade com o art. 33 da Lei nº 12.712, de 30 de agosto de 2012, e tem por finalidade garantir, direta ou indiretamente, quaisquer riscos relacionados às operações de que trata o §7º, do mencionado artigo, inclusive não gerenciáveis relacionados a concessões, observadas as condições e formas previstas no Estatuto do Fundo.</w:t>
      </w:r>
    </w:p>
    <w:p w14:paraId="0055A11E" w14:textId="77777777" w:rsidR="00DA0F18" w:rsidRPr="00F46A27" w:rsidRDefault="00DA0F18" w:rsidP="00F46A27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46A27">
        <w:rPr>
          <w:rFonts w:ascii="Garamond" w:hAnsi="Garamond" w:cs="Arial"/>
          <w:color w:val="002060"/>
          <w:sz w:val="24"/>
          <w:szCs w:val="24"/>
        </w:rPr>
        <w:t>Encontra-se vigente a garantia prestada pelo FGIE, com previsão de conclusão em 2044, à Parceria Pública Privada firmada pelo município de Salto, no Estado de São Paulo e a Empresa CSO Ambiental de Salto SPE S/A, para prestação de serviços de coleta e tratamento de resíduos sólidos. O limite de cobertura, observadas as condições da garantia, é de R$ 6.179.615,40 (seis milhões, cento e setenta e nove mil, seiscentos e quinze reais e quarenta centavos). Durante o ano de 2021, a ABGF realizou o acompanhamento da garantia certificando-se que os aportes de responsabilidade do parceiro público foram realizados.</w:t>
      </w:r>
    </w:p>
    <w:p w14:paraId="7012A36C" w14:textId="77777777" w:rsidR="00DA0F18" w:rsidRPr="00F46A27" w:rsidRDefault="00DA0F18" w:rsidP="00F46A27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46A27">
        <w:rPr>
          <w:rFonts w:ascii="Garamond" w:hAnsi="Garamond" w:cs="Arial"/>
          <w:color w:val="002060"/>
          <w:sz w:val="24"/>
          <w:szCs w:val="24"/>
        </w:rPr>
        <w:t>Cabe destacar que em 19.05.2021 foi publicada a Medida Provisória nº 1.052/2021, convertida na Lei nº 14.227/2021, que autoriza a União a criar um fundo para financiar a estruturação e o desenvolvimento de projetos de concessão e parcerias público privadas (</w:t>
      </w:r>
      <w:proofErr w:type="spellStart"/>
      <w:r w:rsidRPr="00F46A27">
        <w:rPr>
          <w:rFonts w:ascii="Garamond" w:hAnsi="Garamond" w:cs="Arial"/>
          <w:color w:val="002060"/>
          <w:sz w:val="24"/>
          <w:szCs w:val="24"/>
        </w:rPr>
        <w:t>PPPs</w:t>
      </w:r>
      <w:proofErr w:type="spellEnd"/>
      <w:r w:rsidRPr="00F46A27">
        <w:rPr>
          <w:rFonts w:ascii="Garamond" w:hAnsi="Garamond" w:cs="Arial"/>
          <w:color w:val="002060"/>
          <w:sz w:val="24"/>
          <w:szCs w:val="24"/>
        </w:rPr>
        <w:t xml:space="preserve">), a serem realizados pela União, Estados e Municípios. Essa lei, que altera o Artigo 32-A da Lei nº 12.712/2012, cujo enunciado dispõe que o novo Fundo será administrado e representado judicial e extrajudicialmente por instituição financeira selecionada por meio de chamada pública. Também ficou estabelecido que o novo Fundo seja criado a partir da reestruturação do Fundo Garantidor de Infraestrutura (FGIE), funcionando sob o regime de cotas, coordenado pelo Ministério do Desenvolvimento Regional (MDR). </w:t>
      </w:r>
    </w:p>
    <w:p w14:paraId="16144C2E" w14:textId="77777777" w:rsidR="00DA0F18" w:rsidRPr="00F46A27" w:rsidRDefault="00DA0F18" w:rsidP="00F46A27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46A27">
        <w:rPr>
          <w:rFonts w:ascii="Garamond" w:hAnsi="Garamond" w:cs="Arial"/>
          <w:color w:val="002060"/>
          <w:sz w:val="24"/>
          <w:szCs w:val="24"/>
        </w:rPr>
        <w:t>Em 30 de dezembro de 2021 foi publicado o Decreto 10.918, de 29.12.2021, que dispõe sobre o Fundo de Desenvolvimento da Infraestrutura Regional Sustentável - FDIRS, de que trata o art. 32 da Lei nº 12.712/2012. De acordo com o parágrafo primeiro do Art. 11 do referido Decreto “A Agência Brasileira Gestora de Fundos Garantidores e Garantias exercerá a administração do Fundo Garantidor de Infraestrutura enquanto não for efetuada a adequação do estatuto de que trata o caput e a contratação da instituição financeira administradora selecionada nos termos do disposto no art. 9º. Pelo disposto no parágrafo segundo desse mesmo artigo, “O disposto no § 1º não autoriza a Agência Brasileira Gestora de Fundos Garantidores e Garantias a contratar novas operações do Fundo Garantidor de Infraestrutura além daquelas em curso em 19 de maio de 2021”.</w:t>
      </w:r>
    </w:p>
    <w:p w14:paraId="2CE978A4" w14:textId="2EE78B26" w:rsidR="00DA0F18" w:rsidRPr="002E582C" w:rsidRDefault="00DA0F18" w:rsidP="00F46A27">
      <w:pPr>
        <w:jc w:val="both"/>
        <w:rPr>
          <w:rFonts w:ascii="Garamond" w:hAnsi="Garamond"/>
          <w:color w:val="002060"/>
        </w:rPr>
      </w:pPr>
      <w:r w:rsidRPr="00F46A27">
        <w:rPr>
          <w:rFonts w:ascii="Garamond" w:hAnsi="Garamond" w:cs="Arial"/>
          <w:color w:val="002060"/>
          <w:sz w:val="24"/>
          <w:szCs w:val="24"/>
        </w:rPr>
        <w:t>Em 31 de dezembro de 2021, o Patrimônio Líquido do FGIE era da ordem de R$ 785,7 milhões.</w:t>
      </w:r>
    </w:p>
    <w:p w14:paraId="6297A0AB" w14:textId="77777777" w:rsidR="003048E2" w:rsidRPr="00FE57FC" w:rsidRDefault="00582E3B" w:rsidP="003048E2">
      <w:pPr>
        <w:pStyle w:val="Ttulo3"/>
        <w:rPr>
          <w:rFonts w:ascii="Garamond" w:hAnsi="Garamond"/>
          <w:color w:val="002060"/>
        </w:rPr>
      </w:pPr>
      <w:r w:rsidRPr="00FE57FC">
        <w:rPr>
          <w:rFonts w:ascii="Garamond" w:hAnsi="Garamond"/>
          <w:color w:val="002060"/>
        </w:rPr>
        <w:t xml:space="preserve">2.2 </w:t>
      </w:r>
      <w:r w:rsidR="003048E2" w:rsidRPr="00FE57FC">
        <w:rPr>
          <w:rFonts w:ascii="Garamond" w:hAnsi="Garamond"/>
          <w:color w:val="002060"/>
        </w:rPr>
        <w:t>Seguro de Crédito à Exportação – SCE</w:t>
      </w:r>
    </w:p>
    <w:p w14:paraId="6DFB9E9A" w14:textId="5FBCDF0B" w:rsidR="003048E2" w:rsidRPr="00FE57FC" w:rsidRDefault="003048E2" w:rsidP="003048E2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 xml:space="preserve">A ABGF presta serviços para a </w:t>
      </w:r>
      <w:r w:rsidR="007A4D10" w:rsidRPr="00FE57FC">
        <w:rPr>
          <w:rFonts w:ascii="Garamond" w:hAnsi="Garamond" w:cs="Arial"/>
          <w:color w:val="002060"/>
          <w:sz w:val="24"/>
          <w:szCs w:val="24"/>
        </w:rPr>
        <w:t>Secretaria Executiva da Câmara de Comércio Exterior do Ministério da Economia</w:t>
      </w:r>
      <w:r w:rsidR="00415DBD" w:rsidRPr="00FE57FC">
        <w:rPr>
          <w:rFonts w:ascii="Garamond" w:hAnsi="Garamond" w:cs="Arial"/>
          <w:color w:val="002060"/>
          <w:sz w:val="24"/>
          <w:szCs w:val="24"/>
        </w:rPr>
        <w:t xml:space="preserve"> (SE</w:t>
      </w:r>
      <w:r w:rsidR="007A4D10" w:rsidRPr="00FE57FC">
        <w:rPr>
          <w:rFonts w:ascii="Garamond" w:hAnsi="Garamond" w:cs="Arial"/>
          <w:color w:val="002060"/>
          <w:sz w:val="24"/>
          <w:szCs w:val="24"/>
        </w:rPr>
        <w:t>-CAMEX</w:t>
      </w:r>
      <w:r w:rsidR="00415DBD" w:rsidRPr="00FE57FC">
        <w:rPr>
          <w:rFonts w:ascii="Garamond" w:hAnsi="Garamond" w:cs="Arial"/>
          <w:color w:val="002060"/>
          <w:sz w:val="24"/>
          <w:szCs w:val="24"/>
        </w:rPr>
        <w:t>/ME)</w:t>
      </w:r>
      <w:r w:rsidR="005B1954" w:rsidRPr="00FE57FC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na execução dos serviços de SCE previstos na Lei nº 6.704/1979 e cobertos com recursos do </w:t>
      </w:r>
      <w:r w:rsidR="00582E3B" w:rsidRPr="00FE57FC">
        <w:rPr>
          <w:rFonts w:ascii="Garamond" w:hAnsi="Garamond" w:cs="Arial"/>
          <w:color w:val="002060"/>
          <w:sz w:val="24"/>
          <w:szCs w:val="24"/>
        </w:rPr>
        <w:t>Fundo de Garantia à Exportação (</w:t>
      </w:r>
      <w:r w:rsidRPr="00FE57FC">
        <w:rPr>
          <w:rFonts w:ascii="Garamond" w:hAnsi="Garamond" w:cs="Arial"/>
          <w:color w:val="002060"/>
          <w:sz w:val="24"/>
          <w:szCs w:val="24"/>
        </w:rPr>
        <w:t>FGE</w:t>
      </w:r>
      <w:r w:rsidR="00582E3B" w:rsidRPr="00FE57FC">
        <w:rPr>
          <w:rFonts w:ascii="Garamond" w:hAnsi="Garamond" w:cs="Arial"/>
          <w:color w:val="002060"/>
          <w:sz w:val="24"/>
          <w:szCs w:val="24"/>
        </w:rPr>
        <w:t>)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. Os serviços prestados pela ABGF incluem </w:t>
      </w:r>
      <w:r w:rsidR="00D7736B">
        <w:rPr>
          <w:rFonts w:ascii="Garamond" w:hAnsi="Garamond" w:cs="Arial"/>
          <w:color w:val="002060"/>
          <w:sz w:val="24"/>
          <w:szCs w:val="24"/>
        </w:rPr>
        <w:t xml:space="preserve">principalmente a 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análise, acompanhamento, monitoramento, gestão dos riscos e das coberturas de </w:t>
      </w:r>
      <w:r w:rsidR="00582E3B" w:rsidRPr="00FE57FC">
        <w:rPr>
          <w:rFonts w:ascii="Garamond" w:hAnsi="Garamond" w:cs="Arial"/>
          <w:color w:val="002060"/>
          <w:sz w:val="24"/>
          <w:szCs w:val="24"/>
        </w:rPr>
        <w:t xml:space="preserve">Seguro 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de </w:t>
      </w:r>
      <w:r w:rsidR="00582E3B" w:rsidRPr="00FE57FC">
        <w:rPr>
          <w:rFonts w:ascii="Garamond" w:hAnsi="Garamond" w:cs="Arial"/>
          <w:color w:val="002060"/>
          <w:sz w:val="24"/>
          <w:szCs w:val="24"/>
        </w:rPr>
        <w:t xml:space="preserve">Crédito 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à </w:t>
      </w:r>
      <w:r w:rsidR="00582E3B" w:rsidRPr="00FE57FC">
        <w:rPr>
          <w:rFonts w:ascii="Garamond" w:hAnsi="Garamond" w:cs="Arial"/>
          <w:color w:val="002060"/>
          <w:sz w:val="24"/>
          <w:szCs w:val="24"/>
        </w:rPr>
        <w:t xml:space="preserve">Exportação </w:t>
      </w:r>
      <w:r w:rsidRPr="00FE57FC">
        <w:rPr>
          <w:rFonts w:ascii="Garamond" w:hAnsi="Garamond" w:cs="Arial"/>
          <w:color w:val="002060"/>
          <w:sz w:val="24"/>
          <w:szCs w:val="24"/>
        </w:rPr>
        <w:t>ao amparo do FGE.</w:t>
      </w:r>
    </w:p>
    <w:p w14:paraId="69007C05" w14:textId="0E99FC76" w:rsidR="00545798" w:rsidRPr="00367B91" w:rsidRDefault="00545798" w:rsidP="00ED1833">
      <w:pPr>
        <w:tabs>
          <w:tab w:val="left" w:pos="1418"/>
        </w:tabs>
        <w:jc w:val="both"/>
        <w:rPr>
          <w:rFonts w:ascii="Garamond" w:hAnsi="Garamond" w:cs="Arial"/>
          <w:color w:val="002060"/>
          <w:sz w:val="24"/>
          <w:szCs w:val="24"/>
        </w:rPr>
      </w:pPr>
      <w:r w:rsidRPr="00367B91">
        <w:rPr>
          <w:rFonts w:ascii="Garamond" w:hAnsi="Garamond" w:cs="Arial"/>
          <w:color w:val="002060"/>
          <w:sz w:val="24"/>
          <w:szCs w:val="24"/>
        </w:rPr>
        <w:lastRenderedPageBreak/>
        <w:t xml:space="preserve">A </w:t>
      </w:r>
      <w:r w:rsidR="0034536B" w:rsidRPr="00367B91">
        <w:rPr>
          <w:rFonts w:ascii="Garamond" w:hAnsi="Garamond" w:cs="Arial"/>
          <w:color w:val="002060"/>
          <w:sz w:val="24"/>
          <w:szCs w:val="24"/>
        </w:rPr>
        <w:t>Empresa</w:t>
      </w:r>
      <w:r w:rsidRPr="00367B91">
        <w:rPr>
          <w:rFonts w:ascii="Garamond" w:hAnsi="Garamond" w:cs="Arial"/>
          <w:color w:val="002060"/>
          <w:sz w:val="24"/>
          <w:szCs w:val="24"/>
        </w:rPr>
        <w:t xml:space="preserve"> conduz a gestão de garantias de seguro de crédito à exportação para grandes companhias, em operações com prazo superior a dois anos, denominadas de Médio e Longo Prazo (MLP)</w:t>
      </w:r>
      <w:r w:rsidR="0088278D" w:rsidRPr="0088278D">
        <w:rPr>
          <w:rFonts w:ascii="Garamond" w:hAnsi="Garamond" w:cs="Arial"/>
          <w:color w:val="002060"/>
          <w:sz w:val="24"/>
          <w:szCs w:val="24"/>
        </w:rPr>
        <w:t>.</w:t>
      </w:r>
      <w:r w:rsidR="00305532">
        <w:rPr>
          <w:rFonts w:ascii="Garamond" w:hAnsi="Garamond" w:cs="Arial"/>
          <w:color w:val="002060"/>
          <w:sz w:val="24"/>
          <w:szCs w:val="24"/>
        </w:rPr>
        <w:t xml:space="preserve"> </w:t>
      </w:r>
      <w:r w:rsidRPr="00367B91">
        <w:rPr>
          <w:rFonts w:ascii="Garamond" w:hAnsi="Garamond" w:cs="Arial"/>
          <w:color w:val="002060"/>
          <w:sz w:val="24"/>
          <w:szCs w:val="24"/>
        </w:rPr>
        <w:t>Em decorrência de restrição orçamentária e revisão do modelo de apoio oficial à exportação, as garantias para operações de Micro, Pequenas e Médias Empresas (MPMEs), encontram-se suspensas.</w:t>
      </w:r>
    </w:p>
    <w:p w14:paraId="3B2213C7" w14:textId="3D34ADDA" w:rsidR="006B29F8" w:rsidRPr="006B29F8" w:rsidRDefault="006B29F8" w:rsidP="006B29F8">
      <w:pPr>
        <w:tabs>
          <w:tab w:val="left" w:pos="1418"/>
        </w:tabs>
        <w:jc w:val="both"/>
        <w:rPr>
          <w:rFonts w:ascii="Garamond" w:hAnsi="Garamond" w:cs="Arial"/>
          <w:color w:val="002060"/>
          <w:sz w:val="24"/>
          <w:szCs w:val="24"/>
        </w:rPr>
      </w:pPr>
      <w:r>
        <w:rPr>
          <w:rFonts w:ascii="Garamond" w:hAnsi="Garamond" w:cs="Arial"/>
          <w:color w:val="002060"/>
          <w:sz w:val="24"/>
          <w:szCs w:val="24"/>
        </w:rPr>
        <w:t>Nesse contexto, a</w:t>
      </w:r>
      <w:r w:rsidRPr="006B29F8">
        <w:rPr>
          <w:rFonts w:ascii="Garamond" w:hAnsi="Garamond" w:cs="Arial"/>
          <w:color w:val="002060"/>
          <w:sz w:val="24"/>
          <w:szCs w:val="24"/>
        </w:rPr>
        <w:t xml:space="preserve"> ABGF vem desenvolvendo os trabalhos de aprimoramento do Sistema de Gerenciamento de Sinistros - SGS, elaborado no ano de 2020, que, além de conferir agilidade no processo de regulação de sinistros, mitiga riscos envolvendo cálculo de prazos e valores de indenizações, pois abrange todo o fluxo de regulação de sinistro, desde a Declaração de Ameaça de Sinistro – DAS até sua indenização e sub-rogação, garantindo assim o armazenamento completo das documentações utilizadas no processo. </w:t>
      </w:r>
      <w:r w:rsidR="002E582C">
        <w:rPr>
          <w:rFonts w:ascii="Garamond" w:hAnsi="Garamond" w:cs="Arial"/>
          <w:color w:val="002060"/>
          <w:sz w:val="24"/>
          <w:szCs w:val="24"/>
        </w:rPr>
        <w:t xml:space="preserve">No ano de 2021 foram implementadas novas funcionalidades, de forma que será possível que a </w:t>
      </w:r>
      <w:r w:rsidR="002E582C" w:rsidRPr="006B29F8">
        <w:rPr>
          <w:rFonts w:ascii="Garamond" w:hAnsi="Garamond" w:cs="Arial"/>
          <w:color w:val="002060"/>
          <w:sz w:val="24"/>
          <w:szCs w:val="24"/>
        </w:rPr>
        <w:t>totalidade de operações sinistradas seja operada dentro desse Sistema</w:t>
      </w:r>
      <w:r w:rsidR="00F25D50">
        <w:rPr>
          <w:rFonts w:ascii="Garamond" w:hAnsi="Garamond" w:cs="Arial"/>
          <w:color w:val="002060"/>
          <w:sz w:val="24"/>
          <w:szCs w:val="24"/>
        </w:rPr>
        <w:t xml:space="preserve">. </w:t>
      </w:r>
    </w:p>
    <w:p w14:paraId="4DA40C14" w14:textId="75C357E9" w:rsidR="006B29F8" w:rsidRPr="00FE57FC" w:rsidRDefault="006B29F8" w:rsidP="006B29F8">
      <w:pPr>
        <w:tabs>
          <w:tab w:val="left" w:pos="1418"/>
        </w:tabs>
        <w:jc w:val="both"/>
        <w:rPr>
          <w:rFonts w:ascii="Garamond" w:hAnsi="Garamond" w:cs="Arial"/>
          <w:color w:val="002060"/>
          <w:sz w:val="24"/>
          <w:szCs w:val="24"/>
        </w:rPr>
      </w:pPr>
      <w:r w:rsidRPr="006B29F8">
        <w:rPr>
          <w:rFonts w:ascii="Garamond" w:hAnsi="Garamond" w:cs="Arial"/>
          <w:color w:val="002060"/>
          <w:sz w:val="24"/>
          <w:szCs w:val="24"/>
        </w:rPr>
        <w:t>Outro item que merece destaque é o desenvolvimento do módulo atuarial que será integrado ao SGS. A primeira fase de automação, que contempla as informações pertinentes à exposição da carteira do FGE, está prevista para que seja implementada já no início de 2022.</w:t>
      </w:r>
    </w:p>
    <w:p w14:paraId="185259F3" w14:textId="77777777" w:rsidR="003048E2" w:rsidRPr="00FE57FC" w:rsidRDefault="00582E3B" w:rsidP="003048E2">
      <w:pPr>
        <w:pStyle w:val="Ttulo3"/>
        <w:rPr>
          <w:rFonts w:ascii="Garamond" w:hAnsi="Garamond"/>
          <w:color w:val="002060"/>
        </w:rPr>
      </w:pPr>
      <w:r w:rsidRPr="00FE57FC">
        <w:rPr>
          <w:rFonts w:ascii="Garamond" w:hAnsi="Garamond"/>
          <w:color w:val="002060"/>
        </w:rPr>
        <w:t xml:space="preserve">2.3 </w:t>
      </w:r>
      <w:r w:rsidR="003048E2" w:rsidRPr="00FE57FC">
        <w:rPr>
          <w:rFonts w:ascii="Garamond" w:hAnsi="Garamond"/>
          <w:color w:val="002060"/>
        </w:rPr>
        <w:t xml:space="preserve">Fundo de Estabilidade do Seguro Rural – FESR </w:t>
      </w:r>
    </w:p>
    <w:p w14:paraId="2A517AD9" w14:textId="77777777" w:rsidR="003322BC" w:rsidRPr="00FE57FC" w:rsidRDefault="003048E2" w:rsidP="003322BC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 xml:space="preserve">O FESR, criado por meio do Decreto-Lei nº 73/1966, tem por finalidade manter e garantir o equilíbrio das operações do seguro rural no </w:t>
      </w:r>
      <w:r w:rsidR="00AE2800" w:rsidRPr="00FE57FC">
        <w:rPr>
          <w:rFonts w:ascii="Garamond" w:hAnsi="Garamond" w:cs="Arial"/>
          <w:color w:val="002060"/>
          <w:sz w:val="24"/>
          <w:szCs w:val="24"/>
        </w:rPr>
        <w:t>P</w:t>
      </w:r>
      <w:r w:rsidRPr="00FE57FC">
        <w:rPr>
          <w:rFonts w:ascii="Garamond" w:hAnsi="Garamond" w:cs="Arial"/>
          <w:color w:val="002060"/>
          <w:sz w:val="24"/>
          <w:szCs w:val="24"/>
        </w:rPr>
        <w:t>aís, bem como atender à cobertura suplementar dos riscos de catástrofe inerentes às atividades rurais. Estão abrangidas pelas regras do FESR as seguintes modalidades de seguro: Agrícola, Pecuário, Aquícola, Florestais e de Penhor Rural.</w:t>
      </w:r>
    </w:p>
    <w:p w14:paraId="12E299D2" w14:textId="7B3E0FD7" w:rsidR="0034536B" w:rsidRPr="00FE57FC" w:rsidRDefault="0034536B" w:rsidP="00A23546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 xml:space="preserve">Desde julho de 2015, a ABGF é encarregada da gestão do Fundo de Estabilidade do Seguro Rural até a completa liquidação das obrigações do Fundo, conforme previsto na Lei </w:t>
      </w:r>
      <w:r w:rsidR="009F33F1" w:rsidRPr="00FE57FC">
        <w:rPr>
          <w:rFonts w:ascii="Garamond" w:hAnsi="Garamond" w:cs="Arial"/>
          <w:color w:val="002060"/>
          <w:sz w:val="24"/>
          <w:szCs w:val="24"/>
        </w:rPr>
        <w:t xml:space="preserve">nº 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13.195, de 25.11.2015, que alterou a Lei </w:t>
      </w:r>
      <w:r w:rsidR="009F33F1" w:rsidRPr="00FE57FC">
        <w:rPr>
          <w:rFonts w:ascii="Garamond" w:hAnsi="Garamond" w:cs="Arial"/>
          <w:color w:val="002060"/>
          <w:sz w:val="24"/>
          <w:szCs w:val="24"/>
        </w:rPr>
        <w:t xml:space="preserve">nº 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12.712, de 30.08.2012. O exercício social do FESR, de acordo com a Resolução do Conselho Nacional de Seguros Privados (CNSP) nº </w:t>
      </w:r>
      <w:r w:rsidR="00D12ED2">
        <w:rPr>
          <w:rFonts w:ascii="Garamond" w:hAnsi="Garamond" w:cs="Arial"/>
          <w:color w:val="002060"/>
          <w:sz w:val="24"/>
          <w:szCs w:val="24"/>
        </w:rPr>
        <w:t>404/2021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, é de 1º de janeiro até 31 de dezembro do mesmo ano. </w:t>
      </w:r>
    </w:p>
    <w:p w14:paraId="1A33CF9A" w14:textId="77777777" w:rsidR="0034536B" w:rsidRPr="00FE57FC" w:rsidRDefault="0034536B" w:rsidP="00A23546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 xml:space="preserve">Em 12 de junho de 2017, foi publicado o Decreto nº 9078, que dispõe sobre a remuneração da ABGF pela gestão do Fundo de Estabilidade do Seguro Rural, resultando em percepção de receita, a partir de 13 de julho de 2017, pela ABGF. </w:t>
      </w:r>
    </w:p>
    <w:p w14:paraId="50B01745" w14:textId="5AFD1952" w:rsidR="00A23546" w:rsidRDefault="00A23546" w:rsidP="00A23546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>A ABGF desenvolveu internamente o Sistema de Gestão do FESR (SGFESR), com o objetivo de aprimorar e modernizar o processo de apuração do Fundo e a comunicação entre a ABGF e as seguradoras participantes, permitindo o recebimento de documentação das seguradoras, além de consolidar em ambiente acessível, via internet, os dados dos participantes do Fundo. O SGFESR é utilizado para realizar todo o procedimento de gestão do Fundo e apuração de seus resultados, racionalizando recursos e automatizando processos</w:t>
      </w:r>
      <w:r w:rsidR="009F33F1" w:rsidRPr="00FE57FC">
        <w:rPr>
          <w:rFonts w:ascii="Garamond" w:hAnsi="Garamond" w:cs="Arial"/>
          <w:color w:val="002060"/>
          <w:sz w:val="24"/>
          <w:szCs w:val="24"/>
        </w:rPr>
        <w:t>. Esse sistema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 vem sendo continuamente aprimorado para conferir maior celeridade, segurança e transparência a todas as etapas de apuração do resultado do Fundo.</w:t>
      </w:r>
    </w:p>
    <w:p w14:paraId="6FE44ECD" w14:textId="6877D36D" w:rsidR="003F737A" w:rsidRPr="003F737A" w:rsidRDefault="003F737A" w:rsidP="003F737A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3F737A">
        <w:rPr>
          <w:rFonts w:ascii="Garamond" w:hAnsi="Garamond" w:cs="Arial"/>
          <w:color w:val="002060"/>
          <w:sz w:val="24"/>
          <w:szCs w:val="24"/>
        </w:rPr>
        <w:lastRenderedPageBreak/>
        <w:t>Em 22.03.2021, foi publicada a Portaria nº 759, do Ministério da Economia, com vistas à centralização e liberação das fontes de recursos oriundos do superávit financeiro dos fundos públicos do Poder Executivo Federal destinado à amortização da Dívida Pública da União, que resultou na transferência de R$ 3.640.255.747,20 (três bilhões, seiscentos e quarenta milhões, duzentos e cinquenta e cinco mil, setecentos e quarenta e sete reais e vinte centavos), sendo R$ 3.639.457.859,56 transferidos em 29.03.2021 e o restante R$ 797.887,73 transferidos em 15.10.2021, do FESR para a União, o que impactará os resultados financeiros do referido Fundo.</w:t>
      </w:r>
    </w:p>
    <w:p w14:paraId="23394BB2" w14:textId="557DD4AA" w:rsidR="003F737A" w:rsidRPr="00FE57FC" w:rsidRDefault="003F737A" w:rsidP="003F737A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3F737A">
        <w:rPr>
          <w:rFonts w:ascii="Garamond" w:hAnsi="Garamond" w:cs="Arial"/>
          <w:color w:val="002060"/>
          <w:sz w:val="24"/>
          <w:szCs w:val="24"/>
        </w:rPr>
        <w:t xml:space="preserve">Posteriormente, </w:t>
      </w:r>
      <w:r w:rsidR="00D12ED2">
        <w:rPr>
          <w:rFonts w:ascii="Garamond" w:hAnsi="Garamond" w:cs="Arial"/>
          <w:color w:val="002060"/>
          <w:sz w:val="24"/>
          <w:szCs w:val="24"/>
        </w:rPr>
        <w:t xml:space="preserve">em abril de 2021, </w:t>
      </w:r>
      <w:r w:rsidRPr="003F737A">
        <w:rPr>
          <w:rFonts w:ascii="Garamond" w:hAnsi="Garamond" w:cs="Arial"/>
          <w:color w:val="002060"/>
          <w:sz w:val="24"/>
          <w:szCs w:val="24"/>
        </w:rPr>
        <w:t>a Superintend</w:t>
      </w:r>
      <w:r>
        <w:rPr>
          <w:rFonts w:ascii="Garamond" w:hAnsi="Garamond" w:cs="Arial"/>
          <w:color w:val="002060"/>
          <w:sz w:val="24"/>
          <w:szCs w:val="24"/>
        </w:rPr>
        <w:t xml:space="preserve">ência de Seguros Privados publicou </w:t>
      </w:r>
      <w:r w:rsidRPr="003F737A">
        <w:rPr>
          <w:rFonts w:ascii="Garamond" w:hAnsi="Garamond" w:cs="Arial"/>
          <w:color w:val="002060"/>
          <w:sz w:val="24"/>
          <w:szCs w:val="24"/>
        </w:rPr>
        <w:t>a Carta Circular Eletrônica nº 2/2021/DIR1/SUSEP, que estabelece como facultativa a adesão ao FESR para todos os ramos, inclusive o seguro de penhor rural, criando o sub-ramo “Sem Cobertura do FESR” também para essa modalidade, até então considerada obrigatória. Esse novo regramento pode impactar substancialmente o montante de prêmios de seguros emitidos com cobertura do FESR, já que o ramo de Penhor Rural é responsável até então por 60% destes prêmios. Assim, por consequência, a partir de 2022 a remuneração auferida pela ABGF deverá ser impactada negativamente, visto que, conforme Decreto Nº 9.078/2017, ela corresponde a vinte e cinco centésimos por cento da média dos prêmios de seguro emitidos com cobertura pelo FESR nos últimos três exercícios do Fundo.</w:t>
      </w:r>
    </w:p>
    <w:p w14:paraId="0E79811E" w14:textId="3E23D114" w:rsidR="00A23546" w:rsidRPr="00FE57FC" w:rsidRDefault="0034536B" w:rsidP="00A23546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hAnsi="Garamond" w:cs="Arial"/>
          <w:color w:val="002060"/>
          <w:sz w:val="24"/>
          <w:szCs w:val="24"/>
        </w:rPr>
        <w:t>Em 31</w:t>
      </w:r>
      <w:r w:rsidR="00EC6C52" w:rsidRPr="00FE57FC">
        <w:rPr>
          <w:rFonts w:ascii="Garamond" w:hAnsi="Garamond" w:cs="Arial"/>
          <w:color w:val="002060"/>
          <w:sz w:val="24"/>
          <w:szCs w:val="24"/>
        </w:rPr>
        <w:t>.12.</w:t>
      </w:r>
      <w:r w:rsidRPr="00FE57FC">
        <w:rPr>
          <w:rFonts w:ascii="Garamond" w:hAnsi="Garamond" w:cs="Arial"/>
          <w:color w:val="002060"/>
          <w:sz w:val="24"/>
          <w:szCs w:val="24"/>
        </w:rPr>
        <w:t>202</w:t>
      </w:r>
      <w:r w:rsidR="003F737A">
        <w:rPr>
          <w:rFonts w:ascii="Garamond" w:hAnsi="Garamond" w:cs="Arial"/>
          <w:color w:val="002060"/>
          <w:sz w:val="24"/>
          <w:szCs w:val="24"/>
        </w:rPr>
        <w:t>1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 o Patrimônio Líquido do Fundo era de R$ </w:t>
      </w:r>
      <w:r w:rsidR="003F737A">
        <w:rPr>
          <w:rFonts w:ascii="Garamond" w:hAnsi="Garamond" w:cs="Arial"/>
          <w:color w:val="002060"/>
          <w:sz w:val="24"/>
          <w:szCs w:val="24"/>
        </w:rPr>
        <w:t>266</w:t>
      </w:r>
      <w:r w:rsidRPr="00FE57FC">
        <w:rPr>
          <w:rFonts w:ascii="Garamond" w:hAnsi="Garamond" w:cs="Arial"/>
          <w:color w:val="002060"/>
          <w:sz w:val="24"/>
          <w:szCs w:val="24"/>
        </w:rPr>
        <w:t>,</w:t>
      </w:r>
      <w:r w:rsidR="009F33F1" w:rsidRPr="00FE57FC">
        <w:rPr>
          <w:rFonts w:ascii="Garamond" w:hAnsi="Garamond" w:cs="Arial"/>
          <w:color w:val="002060"/>
          <w:sz w:val="24"/>
          <w:szCs w:val="24"/>
        </w:rPr>
        <w:t>1</w:t>
      </w:r>
      <w:r w:rsidRPr="00FE57FC">
        <w:rPr>
          <w:rFonts w:ascii="Garamond" w:hAnsi="Garamond" w:cs="Arial"/>
          <w:color w:val="002060"/>
          <w:sz w:val="24"/>
          <w:szCs w:val="24"/>
        </w:rPr>
        <w:t xml:space="preserve"> </w:t>
      </w:r>
      <w:r w:rsidR="003F737A">
        <w:rPr>
          <w:rFonts w:ascii="Garamond" w:hAnsi="Garamond" w:cs="Arial"/>
          <w:color w:val="002060"/>
          <w:sz w:val="24"/>
          <w:szCs w:val="24"/>
        </w:rPr>
        <w:t>milhões.</w:t>
      </w:r>
      <w:r w:rsidR="00A23546" w:rsidRPr="00FE57FC">
        <w:rPr>
          <w:rFonts w:ascii="Garamond" w:hAnsi="Garamond" w:cs="Arial"/>
          <w:color w:val="002060"/>
          <w:sz w:val="24"/>
          <w:szCs w:val="24"/>
        </w:rPr>
        <w:t xml:space="preserve"> </w:t>
      </w:r>
    </w:p>
    <w:p w14:paraId="665B2793" w14:textId="77777777" w:rsidR="003048E2" w:rsidRPr="00FE57FC" w:rsidRDefault="002F1A91" w:rsidP="003048E2">
      <w:pPr>
        <w:pStyle w:val="Ttulo3"/>
        <w:rPr>
          <w:rFonts w:ascii="Garamond" w:hAnsi="Garamond"/>
          <w:color w:val="002060"/>
        </w:rPr>
      </w:pPr>
      <w:r w:rsidRPr="00FE57FC">
        <w:rPr>
          <w:rFonts w:ascii="Garamond" w:hAnsi="Garamond"/>
          <w:color w:val="002060"/>
        </w:rPr>
        <w:t xml:space="preserve">2.4 </w:t>
      </w:r>
      <w:r w:rsidR="003048E2" w:rsidRPr="00FE57FC">
        <w:rPr>
          <w:rFonts w:ascii="Garamond" w:hAnsi="Garamond"/>
          <w:color w:val="002060"/>
        </w:rPr>
        <w:t>Fundo de Indenizações do Seguro Obrigatório de Embarcações</w:t>
      </w:r>
      <w:r w:rsidRPr="00FE57FC">
        <w:rPr>
          <w:rFonts w:ascii="Garamond" w:hAnsi="Garamond"/>
          <w:color w:val="002060"/>
        </w:rPr>
        <w:t xml:space="preserve"> - DPEM</w:t>
      </w:r>
    </w:p>
    <w:p w14:paraId="520A1DC6" w14:textId="77777777" w:rsidR="003048E2" w:rsidRPr="00FE57FC" w:rsidRDefault="003048E2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 </w:t>
      </w:r>
      <w:r w:rsidR="002F1A9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fundo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FUNDPEM teve sua criação autorizada pela Lei nº 13.313/2016, que alterou as Leis nº 12.712/2012 e 8.374/1991, e é destinado para a cobertura de indenizações por morte ou por invalidez permanente, bem como das despesas de assistência médica e suplementares, causadas exclusivamente por acidentes com embarcações não identificadas ou que estejam inadimplentes quanto ao pagamento do seguro </w:t>
      </w:r>
      <w:bookmarkStart w:id="20" w:name="page23"/>
      <w:bookmarkEnd w:id="20"/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obrigatório DPEM. </w:t>
      </w:r>
      <w:r w:rsidR="002F1A9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É administrado, gerido e representado pela ABGF.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Nos termos da legislação, as indenizações passa</w:t>
      </w:r>
      <w:r w:rsidR="002F1A9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ra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m a ser devidas por esse fundo de direito privado, o qual foi constituído </w:t>
      </w:r>
      <w:r w:rsidR="00EC6C52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pela ABGF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em 23</w:t>
      </w:r>
      <w:r w:rsidR="00EC6C52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.01.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2018</w:t>
      </w:r>
      <w:r w:rsidR="00EC6C52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 é por ela administrado, gerido e representado</w:t>
      </w:r>
      <w:r w:rsidR="0020675F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.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</w:p>
    <w:p w14:paraId="692519EE" w14:textId="304E63B7" w:rsidR="003048E2" w:rsidRPr="00FE57FC" w:rsidRDefault="003048E2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referida </w:t>
      </w:r>
      <w:r w:rsidR="002F1A9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lei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estabelece que o patrimônio do FUNDPEM se</w:t>
      </w:r>
      <w:r w:rsidR="009F33F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ja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formado por parcela dos prêmios arrecadados pelo seguro DPEM, pelo resultado das aplicações financeiras dos seus recursos e por outras fontes definidas pelo CNSP. A </w:t>
      </w:r>
      <w:r w:rsidR="002F1A9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lei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define, ainda, que o FUNDPEM somente poderá indenizar se houver disponibilidade de recursos gerados pelos prêmios de seguros cobrados pelas seguradoras privadas no DPEM.</w:t>
      </w:r>
    </w:p>
    <w:p w14:paraId="4F60B9F8" w14:textId="77777777" w:rsidR="003048E2" w:rsidRPr="00FE57FC" w:rsidRDefault="003048E2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 legislação define que o CNSP disporá sobre as obrigações, os prazos para a implementação e a remuneração devida à administradora do fundo. Contudo, deve-se observar que a partir de abril de 2016 o mercado segurador privado deixou de oferecer o seguro DPEM, motivo pelo qual se tornou sem efeito a exigência de sua obrigatoriedade, nos termos do § 3º do art. 14 da Lei nº 8.374/1991, o que impossibilitou a formação do patrimônio do FUNDPEM</w:t>
      </w:r>
      <w:r w:rsidR="00EC6C52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, de forma que o Fundo não se encontra em operação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. </w:t>
      </w:r>
    </w:p>
    <w:p w14:paraId="2B3A1BA9" w14:textId="77777777" w:rsidR="00895827" w:rsidRPr="00FE57FC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FE57FC">
        <w:rPr>
          <w:rFonts w:ascii="Garamond" w:hAnsi="Garamond" w:cs="Arial"/>
          <w:b/>
          <w:color w:val="002060"/>
          <w:sz w:val="24"/>
          <w:szCs w:val="24"/>
        </w:rPr>
        <w:t>3. Metas relativas ao desenvolvimento de atividades que atendam aos objetivos de políticas públicas.</w:t>
      </w:r>
    </w:p>
    <w:p w14:paraId="23D3FB37" w14:textId="77777777" w:rsidR="004A704D" w:rsidRDefault="004A704D" w:rsidP="00A23546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</w:p>
    <w:p w14:paraId="0C6C5622" w14:textId="77777777" w:rsidR="004A704D" w:rsidRPr="004A704D" w:rsidRDefault="004A704D" w:rsidP="004A704D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A704D">
        <w:rPr>
          <w:rFonts w:ascii="Garamond" w:eastAsia="Klavika-Bold" w:hAnsi="Garamond" w:cs="Arial"/>
          <w:bCs/>
          <w:color w:val="002060"/>
          <w:sz w:val="24"/>
          <w:szCs w:val="24"/>
        </w:rPr>
        <w:t>A ABGF revisou, em dezembro de 2020, seu Planejamento Estratégico para o ciclo 2021-2025. A revisão anual passa pela reavaliação dos direcionadores (missão, visão, diretrizes e objetivos estratégicos), da Matriz SWOT, bem como o conjunto de ações estratégicas necessárias para sua viabilização.</w:t>
      </w:r>
    </w:p>
    <w:p w14:paraId="333112D2" w14:textId="77777777" w:rsidR="004A704D" w:rsidRPr="004A704D" w:rsidRDefault="004A704D" w:rsidP="004A704D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A704D">
        <w:rPr>
          <w:rFonts w:ascii="Garamond" w:eastAsia="Klavika-Bold" w:hAnsi="Garamond" w:cs="Arial"/>
          <w:bCs/>
          <w:color w:val="002060"/>
          <w:sz w:val="24"/>
          <w:szCs w:val="24"/>
        </w:rPr>
        <w:t>As diretrizes estratégicas tiveram como principal foco a conformidade e a integridade das ações a serem desenvolvidas pela Empresa, buscando a efetividade no cumprimento das orientações governamentais.</w:t>
      </w:r>
    </w:p>
    <w:p w14:paraId="165936CA" w14:textId="7CABCC2A" w:rsidR="004A704D" w:rsidRPr="00FE57FC" w:rsidRDefault="004A704D" w:rsidP="004A704D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4A704D">
        <w:rPr>
          <w:rFonts w:ascii="Garamond" w:eastAsia="Klavika-Bold" w:hAnsi="Garamond" w:cs="Arial"/>
          <w:bCs/>
          <w:color w:val="002060"/>
          <w:sz w:val="24"/>
          <w:szCs w:val="24"/>
        </w:rPr>
        <w:t>Os objetivos estratégicos foram alterados para atender as disposições regulamentares e as ações estratégicas ajustadas de forma a concentrar os esforços organizacionais que proporcionariam o alcance dos desafios propostos.</w:t>
      </w:r>
    </w:p>
    <w:p w14:paraId="7B6CD5E7" w14:textId="77777777" w:rsidR="00240D79" w:rsidRPr="00FE57FC" w:rsidRDefault="00240D79" w:rsidP="00240D79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O quadro demonstrativo abaixo apresenta de forma consolidada os indicadores e resultados alcançados</w:t>
      </w:r>
      <w:r w:rsidR="00035084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: 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739"/>
        <w:gridCol w:w="1239"/>
      </w:tblGrid>
      <w:tr w:rsidR="00FE57FC" w:rsidRPr="00B97267" w14:paraId="403ED5DA" w14:textId="77777777" w:rsidTr="00305532"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956FDED" w14:textId="77777777" w:rsidR="006B74D5" w:rsidRPr="00B97267" w:rsidRDefault="00035084">
            <w:pPr>
              <w:spacing w:line="276" w:lineRule="auto"/>
              <w:jc w:val="center"/>
              <w:rPr>
                <w:rFonts w:ascii="Garamond" w:eastAsia="Klavika-Bold" w:hAnsi="Garamond" w:cs="Arial"/>
                <w:b/>
                <w:color w:val="002060"/>
                <w:sz w:val="24"/>
                <w:szCs w:val="24"/>
              </w:rPr>
            </w:pPr>
            <w:r w:rsidRPr="00B97267">
              <w:rPr>
                <w:rFonts w:ascii="Garamond" w:eastAsia="Klavika-Bold" w:hAnsi="Garamond" w:cs="Arial"/>
                <w:b/>
                <w:color w:val="002060"/>
                <w:sz w:val="24"/>
                <w:szCs w:val="24"/>
              </w:rPr>
              <w:t>Indicadores</w:t>
            </w:r>
          </w:p>
        </w:tc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9581C14" w14:textId="77777777" w:rsidR="006B74D5" w:rsidRPr="00B97267" w:rsidRDefault="00035084">
            <w:pPr>
              <w:spacing w:line="276" w:lineRule="auto"/>
              <w:jc w:val="center"/>
              <w:rPr>
                <w:rFonts w:ascii="Garamond" w:eastAsia="Klavika-Bold" w:hAnsi="Garamond" w:cs="Arial"/>
                <w:b/>
                <w:color w:val="002060"/>
                <w:sz w:val="24"/>
                <w:szCs w:val="24"/>
              </w:rPr>
            </w:pPr>
            <w:r w:rsidRPr="00B97267">
              <w:rPr>
                <w:rFonts w:ascii="Garamond" w:eastAsia="Klavika-Bold" w:hAnsi="Garamond" w:cs="Arial"/>
                <w:b/>
                <w:color w:val="00206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043A00D6" w14:textId="77777777" w:rsidR="006B74D5" w:rsidRPr="00B97267" w:rsidRDefault="006B74D5">
            <w:pPr>
              <w:spacing w:line="276" w:lineRule="auto"/>
              <w:jc w:val="center"/>
              <w:rPr>
                <w:rFonts w:ascii="Garamond" w:eastAsia="Klavika-Bold" w:hAnsi="Garamond" w:cs="Arial"/>
                <w:b/>
                <w:color w:val="002060"/>
                <w:sz w:val="24"/>
                <w:szCs w:val="24"/>
              </w:rPr>
            </w:pPr>
            <w:r w:rsidRPr="00B97267">
              <w:rPr>
                <w:rFonts w:ascii="Garamond" w:eastAsia="Klavika-Bold" w:hAnsi="Garamond" w:cs="Arial"/>
                <w:b/>
                <w:color w:val="002060"/>
                <w:sz w:val="24"/>
                <w:szCs w:val="24"/>
              </w:rPr>
              <w:t>Resultado</w:t>
            </w:r>
          </w:p>
        </w:tc>
      </w:tr>
      <w:tr w:rsidR="00FE57FC" w:rsidRPr="00B97267" w14:paraId="17679D7C" w14:textId="77777777" w:rsidTr="00017EBF"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459EEA4E" w14:textId="77777777" w:rsidR="006B74D5" w:rsidRPr="00B97267" w:rsidRDefault="006B74D5">
            <w:pPr>
              <w:spacing w:line="276" w:lineRule="auto"/>
              <w:jc w:val="center"/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</w:pPr>
            <w:r w:rsidRPr="00B97267"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  <w:t>Retorno sobre Patrimônio Líquido</w:t>
            </w:r>
          </w:p>
        </w:tc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7C8F9191" w14:textId="52819DAB" w:rsidR="006B74D5" w:rsidRPr="00B97267" w:rsidRDefault="00A768BA" w:rsidP="00017EBF">
            <w:pPr>
              <w:spacing w:line="276" w:lineRule="auto"/>
              <w:jc w:val="center"/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</w:pPr>
            <w:r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  <w:t>1</w:t>
            </w:r>
            <w:r w:rsidR="006B74D5" w:rsidRPr="00B97267"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2AD062B6" w14:textId="518A8D26" w:rsidR="006B74D5" w:rsidRPr="00B97267" w:rsidRDefault="00364D3D" w:rsidP="00017EBF">
            <w:pPr>
              <w:spacing w:line="276" w:lineRule="auto"/>
              <w:jc w:val="center"/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</w:pPr>
            <w:r w:rsidRPr="00B97267"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  <w:t xml:space="preserve">3,62 </w:t>
            </w:r>
            <w:r w:rsidR="006B74D5" w:rsidRPr="00B97267"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FE57FC" w:rsidRPr="00B97267" w14:paraId="5237E25E" w14:textId="77777777" w:rsidTr="00017EBF"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7D116ED1" w14:textId="77777777" w:rsidR="006B74D5" w:rsidRPr="00B97267" w:rsidRDefault="006B74D5">
            <w:pPr>
              <w:spacing w:line="276" w:lineRule="auto"/>
              <w:jc w:val="center"/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</w:pPr>
            <w:r w:rsidRPr="00B97267"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  <w:t>Equilíbrio Econômico-Financeiro</w:t>
            </w:r>
          </w:p>
        </w:tc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20D540CA" w14:textId="77777777" w:rsidR="006B74D5" w:rsidRPr="00B97267" w:rsidRDefault="006B74D5" w:rsidP="00017EBF">
            <w:pPr>
              <w:spacing w:line="276" w:lineRule="auto"/>
              <w:jc w:val="center"/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</w:pPr>
            <w:r w:rsidRPr="00B97267"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0233869" w14:textId="4B55D773" w:rsidR="006B74D5" w:rsidRPr="00B97267" w:rsidRDefault="00364D3D" w:rsidP="00017EBF">
            <w:pPr>
              <w:spacing w:line="276" w:lineRule="auto"/>
              <w:jc w:val="center"/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</w:pPr>
            <w:r w:rsidRPr="00B97267">
              <w:rPr>
                <w:rFonts w:ascii="Garamond" w:eastAsia="Klavika-Bold" w:hAnsi="Garamond" w:cs="Arial"/>
                <w:bCs/>
                <w:color w:val="002060"/>
                <w:sz w:val="24"/>
                <w:szCs w:val="24"/>
              </w:rPr>
              <w:t>0,67</w:t>
            </w:r>
          </w:p>
        </w:tc>
      </w:tr>
    </w:tbl>
    <w:p w14:paraId="44F42244" w14:textId="4426B8F4" w:rsidR="00240D79" w:rsidRPr="00B97267" w:rsidRDefault="00C80E2E" w:rsidP="00035084">
      <w:pPr>
        <w:spacing w:after="0"/>
        <w:rPr>
          <w:color w:val="002060"/>
          <w:sz w:val="24"/>
          <w:szCs w:val="24"/>
        </w:rPr>
      </w:pPr>
      <w:r w:rsidRPr="00B97267">
        <w:rPr>
          <w:color w:val="002060"/>
          <w:sz w:val="24"/>
          <w:szCs w:val="24"/>
        </w:rPr>
        <w:br w:type="textWrapping" w:clear="all"/>
      </w:r>
    </w:p>
    <w:p w14:paraId="64D356AE" w14:textId="6BCB6FBE" w:rsidR="006B74D5" w:rsidRPr="00B97267" w:rsidRDefault="00035084" w:rsidP="00035084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Com relação ao retorno sobre o patrimônio líquido, </w:t>
      </w:r>
      <w:r w:rsidR="00473316">
        <w:rPr>
          <w:rFonts w:ascii="Garamond" w:eastAsia="Klavika-Bold" w:hAnsi="Garamond" w:cs="Arial"/>
          <w:bCs/>
          <w:color w:val="002060"/>
          <w:sz w:val="24"/>
          <w:szCs w:val="24"/>
        </w:rPr>
        <w:t>a ABGF 2 vezes maior que o alcançado em 2020, fechando o indicador 362</w:t>
      </w:r>
      <w:r w:rsidR="000A24EC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% superior à meta estipulada para </w:t>
      </w:r>
      <w:r w:rsidR="00473316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>202</w:t>
      </w:r>
      <w:r w:rsidR="00473316">
        <w:rPr>
          <w:rFonts w:ascii="Garamond" w:eastAsia="Klavika-Bold" w:hAnsi="Garamond" w:cs="Arial"/>
          <w:bCs/>
          <w:color w:val="002060"/>
          <w:sz w:val="24"/>
          <w:szCs w:val="24"/>
        </w:rPr>
        <w:t>1</w:t>
      </w:r>
      <w:r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. </w:t>
      </w:r>
      <w:r w:rsidR="000A24EC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Esta superação da meta </w:t>
      </w:r>
      <w:r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deve-se </w:t>
      </w:r>
      <w:r w:rsidR="006B74D5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>a implementação de diversas ações de redução das despesas administrativas</w:t>
      </w:r>
      <w:r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ao longo do ano de </w:t>
      </w:r>
      <w:r w:rsidR="00473316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>202</w:t>
      </w:r>
      <w:r w:rsidR="00473316">
        <w:rPr>
          <w:rFonts w:ascii="Garamond" w:eastAsia="Klavika-Bold" w:hAnsi="Garamond" w:cs="Arial"/>
          <w:bCs/>
          <w:color w:val="002060"/>
          <w:sz w:val="24"/>
          <w:szCs w:val="24"/>
        </w:rPr>
        <w:t>1, bem como ao reequilíbrio contratual com a SE-CAMEX e a elevação da taxa de jutos</w:t>
      </w:r>
    </w:p>
    <w:p w14:paraId="1AB13219" w14:textId="10730A53" w:rsidR="009A3BAD" w:rsidRPr="00FE57FC" w:rsidRDefault="00035084" w:rsidP="009A3BAD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Com relação ao equilíbrio econômico-financeiro da Empresa, a ABGF no ano de </w:t>
      </w:r>
      <w:r w:rsidR="00BC7A08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>202</w:t>
      </w:r>
      <w:r w:rsidR="00BC7A08">
        <w:rPr>
          <w:rFonts w:ascii="Garamond" w:eastAsia="Klavika-Bold" w:hAnsi="Garamond" w:cs="Arial"/>
          <w:bCs/>
          <w:color w:val="002060"/>
          <w:sz w:val="24"/>
          <w:szCs w:val="24"/>
        </w:rPr>
        <w:t>1</w:t>
      </w:r>
      <w:r w:rsidR="00BC7A08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="009A3BAD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conseguiu promover a redução de suas despesas, por meio de renegociação de contratos </w:t>
      </w:r>
      <w:r w:rsidR="00BC7A08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para a manutenção </w:t>
      </w:r>
      <w:r w:rsidR="009A3BAD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dos serviços atualmente executados. Entretanto, </w:t>
      </w:r>
      <w:r w:rsidR="000A24EC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destaca-se que este indicador é diretamente influenciado pelo Lucro Líquido, que, em </w:t>
      </w:r>
      <w:r w:rsidR="00BC7A08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>202</w:t>
      </w:r>
      <w:r w:rsidR="00BC7A08">
        <w:rPr>
          <w:rFonts w:ascii="Garamond" w:eastAsia="Klavika-Bold" w:hAnsi="Garamond" w:cs="Arial"/>
          <w:bCs/>
          <w:color w:val="002060"/>
          <w:sz w:val="24"/>
          <w:szCs w:val="24"/>
        </w:rPr>
        <w:t>1</w:t>
      </w:r>
      <w:r w:rsidR="000A24EC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, </w:t>
      </w:r>
      <w:r w:rsidR="004301D7">
        <w:rPr>
          <w:rFonts w:ascii="Garamond" w:eastAsia="Klavika-Bold" w:hAnsi="Garamond" w:cs="Arial"/>
          <w:bCs/>
          <w:color w:val="002060"/>
          <w:sz w:val="24"/>
          <w:szCs w:val="24"/>
        </w:rPr>
        <w:t>aumentou 27,6%</w:t>
      </w:r>
      <w:r w:rsidR="00BC7A08">
        <w:rPr>
          <w:rFonts w:ascii="Garamond" w:eastAsia="Klavika-Bold" w:hAnsi="Garamond" w:cs="Arial"/>
          <w:bCs/>
          <w:color w:val="002060"/>
          <w:sz w:val="24"/>
          <w:szCs w:val="24"/>
        </w:rPr>
        <w:t>, devido ao reequilíbrio contratual com a SE-CAMEX e a elevação da taxa Selic no ano de 2021</w:t>
      </w:r>
      <w:r w:rsidR="009A3BAD" w:rsidRPr="00B97267">
        <w:rPr>
          <w:rFonts w:ascii="Garamond" w:eastAsia="Klavika-Bold" w:hAnsi="Garamond" w:cs="Arial"/>
          <w:bCs/>
          <w:color w:val="002060"/>
          <w:sz w:val="24"/>
          <w:szCs w:val="24"/>
        </w:rPr>
        <w:t>.</w:t>
      </w:r>
      <w:r w:rsidR="009A3BAD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</w:p>
    <w:p w14:paraId="016FDA62" w14:textId="4D60CC51" w:rsidR="00C80E2E" w:rsidRPr="00C80E2E" w:rsidRDefault="00A23546" w:rsidP="00C80E2E">
      <w:pPr>
        <w:tabs>
          <w:tab w:val="left" w:pos="1902"/>
        </w:tabs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Em dezembro de 202</w:t>
      </w:r>
      <w:r w:rsidR="00207DCD">
        <w:rPr>
          <w:rFonts w:ascii="Garamond" w:eastAsia="Klavika-Bold" w:hAnsi="Garamond" w:cs="Arial"/>
          <w:bCs/>
          <w:color w:val="002060"/>
          <w:sz w:val="24"/>
          <w:szCs w:val="24"/>
        </w:rPr>
        <w:t>1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, o Conselho de Administração aprovou a revisão do Planejamento Estratégico ciclo 202</w:t>
      </w:r>
      <w:r w:rsidR="00207DCD">
        <w:rPr>
          <w:rFonts w:ascii="Garamond" w:eastAsia="Klavika-Bold" w:hAnsi="Garamond" w:cs="Arial"/>
          <w:bCs/>
          <w:color w:val="002060"/>
          <w:sz w:val="24"/>
          <w:szCs w:val="24"/>
        </w:rPr>
        <w:t>2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-202</w:t>
      </w:r>
      <w:r w:rsidR="00207DCD">
        <w:rPr>
          <w:rFonts w:ascii="Garamond" w:eastAsia="Klavika-Bold" w:hAnsi="Garamond" w:cs="Arial"/>
          <w:bCs/>
          <w:color w:val="002060"/>
          <w:sz w:val="24"/>
          <w:szCs w:val="24"/>
        </w:rPr>
        <w:t>6</w:t>
      </w:r>
      <w:r w:rsidR="00C80E2E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que</w:t>
      </w:r>
      <w:r w:rsidR="00053FE3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="00C80E2E"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>considerou como norteador a continuidade operacional da Empresa, até que seja definido o modelo de desestatização a ser adotado, bem como o pressuposto de que tenha que exercer seu papel com e efetividade. Assim, foram mantidas as diretrizes estratégicas e a identidade organizacional, uma vez que permitem orientar os rumos da ABGF em consonância com o seu contexto atual e seu papel social.</w:t>
      </w:r>
    </w:p>
    <w:p w14:paraId="3B1984D2" w14:textId="77777777" w:rsidR="00C80E2E" w:rsidRPr="00C80E2E" w:rsidRDefault="00C80E2E" w:rsidP="00C80E2E">
      <w:pPr>
        <w:tabs>
          <w:tab w:val="left" w:pos="1902"/>
        </w:tabs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>Dessa forma, as diretrizes estratégicas para o ciclo 2022-2026 são definidas por:</w:t>
      </w:r>
    </w:p>
    <w:p w14:paraId="5D092E00" w14:textId="2E70D60C" w:rsidR="00C80E2E" w:rsidRPr="00C80E2E" w:rsidRDefault="00C80E2E" w:rsidP="00C80E2E">
      <w:pPr>
        <w:tabs>
          <w:tab w:val="left" w:pos="1902"/>
        </w:tabs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• Assegurar a sustentabilidade </w:t>
      </w:r>
      <w:proofErr w:type="spellStart"/>
      <w:r w:rsidR="00017EBF"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>econômica-financeira</w:t>
      </w:r>
      <w:proofErr w:type="spellEnd"/>
      <w:r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>;</w:t>
      </w:r>
    </w:p>
    <w:p w14:paraId="4436A6C4" w14:textId="77777777" w:rsidR="00C80E2E" w:rsidRPr="00C80E2E" w:rsidRDefault="00C80E2E" w:rsidP="00C80E2E">
      <w:pPr>
        <w:tabs>
          <w:tab w:val="left" w:pos="1902"/>
        </w:tabs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>• Assegurar a efetividade nos Sistemas de Controles Internos; e</w:t>
      </w:r>
    </w:p>
    <w:p w14:paraId="7FA89533" w14:textId="77777777" w:rsidR="00C80E2E" w:rsidRPr="00C80E2E" w:rsidRDefault="00C80E2E" w:rsidP="00C80E2E">
      <w:pPr>
        <w:tabs>
          <w:tab w:val="left" w:pos="1902"/>
        </w:tabs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>• Garantir a continuidade e qualidade na execução dos serviços prestados à União.</w:t>
      </w:r>
    </w:p>
    <w:p w14:paraId="0170CA3B" w14:textId="5AC4701F" w:rsidR="00C80E2E" w:rsidRPr="00C80E2E" w:rsidRDefault="000E5ECF" w:rsidP="00C80E2E">
      <w:pPr>
        <w:tabs>
          <w:tab w:val="left" w:pos="1902"/>
        </w:tabs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>
        <w:rPr>
          <w:rFonts w:ascii="Garamond" w:eastAsia="Klavika-Bold" w:hAnsi="Garamond" w:cs="Arial"/>
          <w:bCs/>
          <w:color w:val="002060"/>
          <w:sz w:val="24"/>
          <w:szCs w:val="24"/>
        </w:rPr>
        <w:lastRenderedPageBreak/>
        <w:t>O</w:t>
      </w:r>
      <w:r w:rsidR="00053FE3">
        <w:rPr>
          <w:rFonts w:ascii="Garamond" w:eastAsia="Klavika-Bold" w:hAnsi="Garamond" w:cs="Arial"/>
          <w:bCs/>
          <w:color w:val="002060"/>
          <w:sz w:val="24"/>
          <w:szCs w:val="24"/>
        </w:rPr>
        <w:t>s</w:t>
      </w:r>
      <w:r w:rsidR="00C80E2E"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objetivos estratégicos foram revistos, a visando maior ênfase nos aspectos de gestão de riscos e controles internos, de forma a assegurar que a revisão do modelo de gestão de riscos possa trazer aspectos e/ou elementos que contribuam para aprimorar a tomada de decisões em todos os níveis da Empresa.</w:t>
      </w:r>
    </w:p>
    <w:p w14:paraId="1301ADEB" w14:textId="29A6350B" w:rsidR="00C01CF8" w:rsidRPr="00FE57FC" w:rsidRDefault="00C80E2E" w:rsidP="00F46A27">
      <w:pPr>
        <w:tabs>
          <w:tab w:val="left" w:pos="1902"/>
        </w:tabs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C80E2E">
        <w:rPr>
          <w:rFonts w:ascii="Garamond" w:eastAsia="Klavika-Bold" w:hAnsi="Garamond" w:cs="Arial"/>
          <w:bCs/>
          <w:color w:val="002060"/>
          <w:sz w:val="24"/>
          <w:szCs w:val="24"/>
        </w:rPr>
        <w:t>Este realinhamento também permite a Empresa a concentrar os esforços organizacionais na geração de valor público à sociedade.</w:t>
      </w:r>
    </w:p>
    <w:p w14:paraId="5466ACFC" w14:textId="77777777" w:rsidR="00131C20" w:rsidRPr="00FE57FC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FE57FC">
        <w:rPr>
          <w:rFonts w:ascii="Garamond" w:hAnsi="Garamond" w:cs="Arial"/>
          <w:b/>
          <w:color w:val="002060"/>
          <w:sz w:val="24"/>
          <w:szCs w:val="24"/>
        </w:rPr>
        <w:t xml:space="preserve">4. </w:t>
      </w:r>
      <w:r w:rsidR="00C660CB" w:rsidRPr="00FE57FC">
        <w:rPr>
          <w:rFonts w:ascii="Garamond" w:hAnsi="Garamond" w:cs="Arial"/>
          <w:b/>
          <w:color w:val="002060"/>
          <w:sz w:val="24"/>
          <w:szCs w:val="24"/>
        </w:rPr>
        <w:t>Desempenho Econômico-Financeiro</w:t>
      </w:r>
    </w:p>
    <w:p w14:paraId="02072ED2" w14:textId="1248CB8C" w:rsidR="00116BA1" w:rsidRPr="00FE57FC" w:rsidRDefault="00616851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hAnsi="Garamond"/>
          <w:color w:val="002060"/>
          <w:sz w:val="24"/>
          <w:szCs w:val="24"/>
        </w:rPr>
        <w:t>As receitas da Companhia foram geradas pela prestação de serviços à União, por meio da Secretaria Executiva da Câmara de Comércio Exterior do Ministério da Economia (SE-CAMEX/ME), relacionados ao seguro de crédito à exportação ao amparo do Fundo de Garantia à Exportação (FGE), e pela administração do Fundo Garantidor de Infraestrutura (FGIE) e do Fundo de Estabilidade do Seguro Rural (FESR).</w:t>
      </w:r>
      <w:r w:rsidR="00131C20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CB44D4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O quadro a seguir apresenta o comparativo de receitas operacionais relativos aos anos de 202</w:t>
      </w:r>
      <w:r w:rsidR="003202A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1 e 2020</w:t>
      </w:r>
      <w:r w:rsidR="00CB44D4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:</w:t>
      </w:r>
      <w:r w:rsidR="00C660CB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</w:p>
    <w:p w14:paraId="1F1AB752" w14:textId="248A9B32" w:rsidR="006268EB" w:rsidRDefault="0026202C" w:rsidP="00F46A27">
      <w:pPr>
        <w:tabs>
          <w:tab w:val="left" w:pos="7553"/>
        </w:tabs>
        <w:spacing w:after="0" w:line="240" w:lineRule="auto"/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Comparativo de r</w:t>
      </w:r>
      <w:r w:rsidR="00E77ED9" w:rsidRPr="00FE57FC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 xml:space="preserve">eceitas </w:t>
      </w:r>
      <w:r w:rsidRPr="00FE57FC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 xml:space="preserve">operacionais: </w:t>
      </w:r>
      <w:r w:rsidR="00E77ED9" w:rsidRPr="00FE57FC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20</w:t>
      </w:r>
      <w:r w:rsidR="00CB44D4" w:rsidRPr="00FE57FC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2</w:t>
      </w:r>
      <w:r w:rsidR="006268EB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1</w:t>
      </w:r>
      <w:r w:rsidR="00CB44D4" w:rsidRPr="00FE57FC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/2</w:t>
      </w:r>
      <w:r w:rsidR="003202A7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020</w:t>
      </w:r>
    </w:p>
    <w:p w14:paraId="5EF78394" w14:textId="2ED8D1F5" w:rsidR="006268EB" w:rsidRDefault="00305532" w:rsidP="0026202C">
      <w:pPr>
        <w:tabs>
          <w:tab w:val="right" w:pos="3402"/>
        </w:tabs>
        <w:spacing w:after="0" w:line="240" w:lineRule="auto"/>
        <w:ind w:firstLine="2835"/>
        <w:jc w:val="right"/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</w:pPr>
      <w:r>
        <w:rPr>
          <w:rFonts w:ascii="Garamond" w:eastAsia="Times New Roman" w:hAnsi="Garamond" w:cs="Arial"/>
          <w:bCs/>
          <w:color w:val="002060"/>
          <w:sz w:val="24"/>
          <w:szCs w:val="24"/>
          <w:lang w:eastAsia="pt-BR"/>
        </w:rPr>
        <w:t>R$</w:t>
      </w:r>
    </w:p>
    <w:tbl>
      <w:tblPr>
        <w:tblW w:w="8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04"/>
        <w:gridCol w:w="160"/>
        <w:gridCol w:w="1276"/>
        <w:gridCol w:w="160"/>
        <w:gridCol w:w="1361"/>
      </w:tblGrid>
      <w:tr w:rsidR="00FE57FC" w:rsidRPr="00305532" w14:paraId="15273530" w14:textId="77777777" w:rsidTr="00B22C4D">
        <w:trPr>
          <w:trHeight w:hRule="exact" w:val="3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CF2FA"/>
            <w:noWrap/>
            <w:vAlign w:val="bottom"/>
            <w:hideMark/>
          </w:tcPr>
          <w:p w14:paraId="2C00C388" w14:textId="77777777" w:rsidR="00E77ED9" w:rsidRPr="00305532" w:rsidRDefault="00E77ED9" w:rsidP="00B22C4D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ECF2FA"/>
            <w:noWrap/>
            <w:vAlign w:val="bottom"/>
            <w:hideMark/>
          </w:tcPr>
          <w:p w14:paraId="3459F15A" w14:textId="4BBC4F06" w:rsidR="00E77ED9" w:rsidRPr="00305532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20</w:t>
            </w:r>
            <w:r w:rsidR="00CB44D4" w:rsidRPr="00305532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2</w:t>
            </w:r>
            <w:r w:rsidR="003F737A" w:rsidRPr="00305532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CF2FA"/>
            <w:vAlign w:val="bottom"/>
            <w:hideMark/>
          </w:tcPr>
          <w:p w14:paraId="798CE554" w14:textId="77777777" w:rsidR="00E77ED9" w:rsidRPr="00305532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ECF2FA"/>
            <w:noWrap/>
            <w:vAlign w:val="bottom"/>
            <w:hideMark/>
          </w:tcPr>
          <w:p w14:paraId="2D46CD57" w14:textId="669145CF" w:rsidR="00E77ED9" w:rsidRPr="00305532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20</w:t>
            </w:r>
            <w:r w:rsidR="003F737A" w:rsidRPr="00305532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CF2FA"/>
            <w:vAlign w:val="bottom"/>
            <w:hideMark/>
          </w:tcPr>
          <w:p w14:paraId="104045F8" w14:textId="77777777" w:rsidR="00E77ED9" w:rsidRPr="00305532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ECF2FA"/>
            <w:vAlign w:val="bottom"/>
            <w:hideMark/>
          </w:tcPr>
          <w:p w14:paraId="0CC8F9E3" w14:textId="77777777" w:rsidR="00E77ED9" w:rsidRPr="00305532" w:rsidRDefault="00E77ED9" w:rsidP="007E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variação %</w:t>
            </w:r>
          </w:p>
        </w:tc>
      </w:tr>
      <w:tr w:rsidR="00305532" w:rsidRPr="00305532" w14:paraId="1D8ECC7E" w14:textId="77777777" w:rsidTr="00DD7B88">
        <w:trPr>
          <w:trHeight w:hRule="exact" w:val="28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1D00" w14:textId="3EF8EFB6" w:rsidR="00305532" w:rsidRPr="00305532" w:rsidRDefault="00305532" w:rsidP="00305532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Prestação de serviços – para SE-CAMEX/ME</w:t>
            </w:r>
          </w:p>
        </w:tc>
        <w:tc>
          <w:tcPr>
            <w:tcW w:w="1304" w:type="dxa"/>
            <w:tcBorders>
              <w:top w:val="single" w:sz="8" w:space="0" w:color="003366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54311" w14:textId="05AC8A19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13.442.456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ADA9D" w14:textId="77777777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3366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60B92" w14:textId="1A62648A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color w:val="002060"/>
                <w:lang w:eastAsia="pt-BR"/>
              </w:rPr>
              <w:t>10.697.041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6A08E" w14:textId="77777777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361" w:type="dxa"/>
            <w:tcBorders>
              <w:top w:val="single" w:sz="8" w:space="0" w:color="003366"/>
              <w:left w:val="nil"/>
              <w:bottom w:val="nil"/>
              <w:right w:val="nil"/>
            </w:tcBorders>
            <w:shd w:val="clear" w:color="auto" w:fill="auto"/>
          </w:tcPr>
          <w:p w14:paraId="05DA2A20" w14:textId="61BBB5F6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25,7%</w:t>
            </w:r>
          </w:p>
        </w:tc>
      </w:tr>
      <w:tr w:rsidR="00305532" w:rsidRPr="00305532" w14:paraId="1C8BB6DA" w14:textId="77777777" w:rsidTr="00DD7B88">
        <w:trPr>
          <w:trHeight w:hRule="exact"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7C077" w14:textId="67523737" w:rsidR="00305532" w:rsidRPr="00305532" w:rsidRDefault="00305532" w:rsidP="00305532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Administração do FGIE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AF3BAA" w14:textId="473A856C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1.642.132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90EFEE" w14:textId="77777777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514B03" w14:textId="4BB7CFAF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color w:val="002060"/>
                <w:lang w:eastAsia="pt-BR"/>
              </w:rPr>
              <w:t>2.284.572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B78BDA" w14:textId="77777777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7D1B44" w14:textId="79408863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- 28,1%</w:t>
            </w:r>
          </w:p>
        </w:tc>
      </w:tr>
      <w:tr w:rsidR="00305532" w:rsidRPr="00305532" w14:paraId="226A6790" w14:textId="77777777" w:rsidTr="00DD7B88">
        <w:trPr>
          <w:trHeight w:hRule="exact"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2970C" w14:textId="5A8D9F00" w:rsidR="00305532" w:rsidRPr="00305532" w:rsidRDefault="00305532" w:rsidP="00305532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Gestão do FESR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9976A3" w14:textId="2B1D5DBF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5.521.832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690570" w14:textId="77777777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025256" w14:textId="65A74656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color w:val="002060"/>
                <w:lang w:eastAsia="pt-BR"/>
              </w:rPr>
              <w:t>5.046.821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1D6D02" w14:textId="77777777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EBBACF" w14:textId="3BBD3EFE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9,4</w:t>
            </w:r>
          </w:p>
        </w:tc>
      </w:tr>
      <w:tr w:rsidR="00305532" w:rsidRPr="00305532" w14:paraId="0AD8F689" w14:textId="77777777" w:rsidTr="00DD7B88">
        <w:trPr>
          <w:trHeight w:hRule="exact"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BEB3" w14:textId="2199BF26" w:rsidR="00305532" w:rsidRPr="00305532" w:rsidRDefault="00305532" w:rsidP="00305532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Receita operacional bruta</w:t>
            </w:r>
          </w:p>
        </w:tc>
        <w:tc>
          <w:tcPr>
            <w:tcW w:w="1304" w:type="dxa"/>
            <w:tcBorders>
              <w:left w:val="nil"/>
              <w:bottom w:val="double" w:sz="6" w:space="0" w:color="003366"/>
              <w:right w:val="nil"/>
            </w:tcBorders>
            <w:shd w:val="clear" w:color="auto" w:fill="auto"/>
            <w:noWrap/>
          </w:tcPr>
          <w:p w14:paraId="7B87CC7D" w14:textId="20A2363D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20.606.420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CD418" w14:textId="77777777" w:rsidR="00305532" w:rsidRPr="00305532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double" w:sz="6" w:space="0" w:color="003366"/>
              <w:right w:val="nil"/>
            </w:tcBorders>
            <w:shd w:val="clear" w:color="auto" w:fill="auto"/>
            <w:noWrap/>
          </w:tcPr>
          <w:p w14:paraId="1E2159CA" w14:textId="5D42424F" w:rsidR="00305532" w:rsidRPr="00305532" w:rsidDel="00131C20" w:rsidRDefault="00305532" w:rsidP="00305532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18.028.434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E4F49" w14:textId="77777777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361" w:type="dxa"/>
            <w:tcBorders>
              <w:left w:val="nil"/>
              <w:bottom w:val="double" w:sz="6" w:space="0" w:color="003366"/>
              <w:right w:val="nil"/>
            </w:tcBorders>
            <w:shd w:val="clear" w:color="auto" w:fill="auto"/>
          </w:tcPr>
          <w:p w14:paraId="08B46024" w14:textId="66266805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305532">
              <w:rPr>
                <w:rFonts w:ascii="Garamond" w:eastAsia="Times New Roman" w:hAnsi="Garamond" w:cs="Arial"/>
                <w:bCs/>
                <w:color w:val="002060"/>
                <w:lang w:eastAsia="pt-BR"/>
              </w:rPr>
              <w:t>14,3%</w:t>
            </w:r>
          </w:p>
        </w:tc>
      </w:tr>
      <w:tr w:rsidR="00305532" w:rsidRPr="00305532" w14:paraId="1669F228" w14:textId="77777777" w:rsidTr="00F46A27">
        <w:trPr>
          <w:trHeight w:hRule="exact"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6A040" w14:textId="59FACDD0" w:rsidR="00305532" w:rsidRPr="00305532" w:rsidRDefault="00305532" w:rsidP="00305532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</w:p>
        </w:tc>
        <w:tc>
          <w:tcPr>
            <w:tcW w:w="1304" w:type="dxa"/>
            <w:tcBorders>
              <w:top w:val="double" w:sz="6" w:space="0" w:color="003366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E9B78" w14:textId="05B6938A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F0F14" w14:textId="77777777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top w:val="double" w:sz="6" w:space="0" w:color="003366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824CDA" w14:textId="4846B99F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B3830" w14:textId="77777777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</w:p>
        </w:tc>
        <w:tc>
          <w:tcPr>
            <w:tcW w:w="1361" w:type="dxa"/>
            <w:tcBorders>
              <w:top w:val="double" w:sz="6" w:space="0" w:color="003366"/>
              <w:left w:val="nil"/>
              <w:right w:val="nil"/>
            </w:tcBorders>
            <w:shd w:val="clear" w:color="auto" w:fill="auto"/>
            <w:vAlign w:val="center"/>
          </w:tcPr>
          <w:p w14:paraId="7B375FFA" w14:textId="5C4BF435" w:rsidR="00305532" w:rsidRPr="00305532" w:rsidRDefault="00305532" w:rsidP="003055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</w:p>
        </w:tc>
      </w:tr>
    </w:tbl>
    <w:p w14:paraId="1A3E9ACF" w14:textId="525FCA2C" w:rsidR="00CB44D4" w:rsidRPr="00FE57FC" w:rsidRDefault="00AA74E6" w:rsidP="007E59CF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Houve aumento do escopo dos serviços prestados à SE-CAMEX/ME, na ordem de 25,7% pela renovação do contrato representando aumento da receita de serviços prestados </w:t>
      </w:r>
      <w:proofErr w:type="spellStart"/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á</w:t>
      </w:r>
      <w:proofErr w:type="spellEnd"/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SE-CAMEX a partir de janeiro de 2021.</w:t>
      </w:r>
      <w:r w:rsidRPr="00AA74E6">
        <w:t xml:space="preserve"> </w:t>
      </w:r>
      <w:r w:rsidRPr="00AA74E6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Parte da remuneração da ABGF corresponde a rateio de rateio dos custos administrativos e de pessoal empregados direta e indiretamente na prestação de serviços ao fundo, que tiveram redução significativa em 2021 quando comparado com 2020</w:t>
      </w: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, na ordem de -28,1%</w:t>
      </w:r>
      <w:r w:rsidR="00015C0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. </w:t>
      </w:r>
      <w:r w:rsidR="00015C09" w:rsidRPr="00015C0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A remuneração da Companhia, em relação ao FESR, tem como base a aplicação de 0,25% sobre o montante de prêmios emitidos no triênio anterior. A base de cálculo (prêmios emitidos) teve aumento de 9,4% da remuneração em 2021, quando comparado com o mesmo período de </w:t>
      </w:r>
      <w:r w:rsidR="00182BDE" w:rsidRPr="00015C0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2020. </w:t>
      </w:r>
      <w:r w:rsidR="00CB44D4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</w:p>
    <w:p w14:paraId="6EC5BC5B" w14:textId="3FDBCC55" w:rsidR="000850DE" w:rsidRDefault="000850DE" w:rsidP="009A3BAD">
      <w:pPr>
        <w:spacing w:after="0"/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 eficiência operacional é calculada pela relação entre a despesa operacional e a receita líquida operacional. Eventuais reduções ou incrementos de receitas também devem ser considerados no cálculo. O quadro a seguir demonstra o Índice de Eficiência Operacional dos períodos de 20</w:t>
      </w:r>
      <w:r w:rsidR="00EF2B04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21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e 2020:</w:t>
      </w:r>
    </w:p>
    <w:p w14:paraId="32D7E200" w14:textId="77777777" w:rsidR="000850DE" w:rsidRPr="00FE57FC" w:rsidRDefault="000850DE" w:rsidP="000850DE">
      <w:pPr>
        <w:tabs>
          <w:tab w:val="right" w:pos="3402"/>
        </w:tabs>
        <w:spacing w:after="0" w:line="240" w:lineRule="auto"/>
        <w:ind w:firstLine="2835"/>
        <w:jc w:val="right"/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b/>
          <w:bCs/>
          <w:color w:val="002060"/>
          <w:sz w:val="24"/>
          <w:szCs w:val="24"/>
          <w:lang w:eastAsia="pt-BR"/>
        </w:rPr>
        <w:t>R$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2666"/>
        <w:gridCol w:w="2747"/>
      </w:tblGrid>
      <w:tr w:rsidR="00FE57FC" w:rsidRPr="00FE57FC" w14:paraId="4726517D" w14:textId="77777777" w:rsidTr="00B22C4D">
        <w:trPr>
          <w:trHeight w:val="255"/>
        </w:trPr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1F05E60E" w14:textId="77777777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 w:rsidRPr="00FE57FC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EFICIÊNCIA OPERACIONAL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40576893" w14:textId="6E3AA441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 w:rsidRPr="00FE57FC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20</w:t>
            </w:r>
            <w:r w:rsidR="00E43461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1</w:t>
            </w:r>
            <w:r w:rsidRPr="00FE57FC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2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74539FCC" w14:textId="5ABC4779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 w:rsidRPr="00FE57FC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20</w:t>
            </w:r>
            <w:r w:rsidR="00E43461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20</w:t>
            </w:r>
          </w:p>
        </w:tc>
      </w:tr>
      <w:tr w:rsidR="00FE57FC" w:rsidRPr="00FE57FC" w14:paraId="22E83D32" w14:textId="77777777" w:rsidTr="00B22C4D">
        <w:trPr>
          <w:trHeight w:val="255"/>
        </w:trPr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655" w14:textId="77777777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043" w14:textId="77777777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BD3" w14:textId="77777777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</w:tr>
      <w:tr w:rsidR="00FE57FC" w:rsidRPr="00FE57FC" w14:paraId="0370240D" w14:textId="77777777" w:rsidTr="00B22C4D">
        <w:trPr>
          <w:trHeight w:val="255"/>
        </w:trPr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BD7" w14:textId="77777777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FE57FC">
              <w:rPr>
                <w:rFonts w:ascii="Garamond" w:eastAsia="Times New Roman" w:hAnsi="Garamond" w:cs="Arial"/>
                <w:color w:val="002060"/>
                <w:lang w:eastAsia="pt-BR"/>
              </w:rPr>
              <w:t>Receita Operacional Líquida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152E" w14:textId="040EE286" w:rsidR="000850DE" w:rsidRPr="00FE57FC" w:rsidRDefault="00EF2B04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lang w:eastAsia="pt-BR"/>
              </w:rPr>
              <w:t>17.670.005</w:t>
            </w:r>
            <w:r w:rsidR="008C0345">
              <w:rPr>
                <w:rFonts w:ascii="Garamond" w:eastAsia="Times New Roman" w:hAnsi="Garamond" w:cs="Arial"/>
                <w:color w:val="002060"/>
                <w:lang w:eastAsia="pt-BR"/>
              </w:rPr>
              <w:t xml:space="preserve"> 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9E5" w14:textId="4A14E1EE" w:rsidR="000850DE" w:rsidRPr="00FE57FC" w:rsidRDefault="00EF2B04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FE57FC">
              <w:rPr>
                <w:rFonts w:ascii="Garamond" w:eastAsia="Times New Roman" w:hAnsi="Garamond" w:cs="Arial"/>
                <w:color w:val="002060"/>
                <w:lang w:eastAsia="pt-BR"/>
              </w:rPr>
              <w:t>15.458.512</w:t>
            </w:r>
            <w:r w:rsidR="008C0345">
              <w:rPr>
                <w:rFonts w:ascii="Garamond" w:eastAsia="Times New Roman" w:hAnsi="Garamond" w:cs="Arial"/>
                <w:color w:val="002060"/>
                <w:lang w:eastAsia="pt-BR"/>
              </w:rPr>
              <w:t xml:space="preserve"> </w:t>
            </w:r>
          </w:p>
        </w:tc>
      </w:tr>
      <w:tr w:rsidR="00FE57FC" w:rsidRPr="00FE57FC" w14:paraId="316B1617" w14:textId="77777777" w:rsidTr="00B22C4D">
        <w:trPr>
          <w:trHeight w:val="255"/>
        </w:trPr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C07F" w14:textId="77777777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FE57FC">
              <w:rPr>
                <w:rFonts w:ascii="Garamond" w:eastAsia="Times New Roman" w:hAnsi="Garamond" w:cs="Arial"/>
                <w:color w:val="002060"/>
                <w:lang w:eastAsia="pt-BR"/>
              </w:rPr>
              <w:t>Despesa Operacional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D55" w14:textId="1E2C4A98" w:rsidR="000850DE" w:rsidRPr="00FE57FC" w:rsidRDefault="008C0345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 w:rsidRPr="008C0345">
              <w:rPr>
                <w:rFonts w:ascii="Garamond" w:eastAsia="Times New Roman" w:hAnsi="Garamond" w:cs="Arial"/>
                <w:color w:val="002060"/>
                <w:lang w:eastAsia="pt-BR"/>
              </w:rPr>
              <w:t>15.203.454</w:t>
            </w:r>
            <w:r>
              <w:rPr>
                <w:rFonts w:ascii="Garamond" w:eastAsia="Times New Roman" w:hAnsi="Garamond" w:cs="Arial"/>
                <w:color w:val="002060"/>
                <w:lang w:eastAsia="pt-BR"/>
              </w:rPr>
              <w:t xml:space="preserve"> 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4BB" w14:textId="2436689C" w:rsidR="000850DE" w:rsidRPr="00FE57FC" w:rsidRDefault="008C0345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2060"/>
                <w:lang w:eastAsia="pt-BR"/>
              </w:rPr>
            </w:pPr>
            <w:r>
              <w:rPr>
                <w:rFonts w:ascii="Garamond" w:eastAsia="Times New Roman" w:hAnsi="Garamond" w:cs="Arial"/>
                <w:color w:val="002060"/>
                <w:lang w:eastAsia="pt-BR"/>
              </w:rPr>
              <w:t xml:space="preserve">15.775.282 </w:t>
            </w:r>
          </w:p>
        </w:tc>
      </w:tr>
      <w:tr w:rsidR="00FE57FC" w:rsidRPr="00FE57FC" w14:paraId="4B879C8C" w14:textId="77777777" w:rsidTr="00B22C4D">
        <w:trPr>
          <w:trHeight w:val="255"/>
        </w:trPr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4971" w14:textId="77777777" w:rsidR="000850DE" w:rsidRPr="00FE57FC" w:rsidRDefault="000850DE" w:rsidP="000850DE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322" w14:textId="77777777" w:rsidR="000850DE" w:rsidRPr="00FE57FC" w:rsidRDefault="000850DE" w:rsidP="000850DE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9539" w14:textId="77777777" w:rsidR="000850DE" w:rsidRPr="00FE57FC" w:rsidRDefault="000850DE" w:rsidP="000850DE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2060"/>
                <w:lang w:eastAsia="pt-BR"/>
              </w:rPr>
            </w:pPr>
          </w:p>
        </w:tc>
      </w:tr>
      <w:tr w:rsidR="00FE57FC" w:rsidRPr="00FE57FC" w14:paraId="5B15F046" w14:textId="77777777" w:rsidTr="00B22C4D">
        <w:trPr>
          <w:trHeight w:val="255"/>
        </w:trPr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5D4" w14:textId="77777777" w:rsidR="000850DE" w:rsidRPr="00FE57FC" w:rsidRDefault="000850DE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 w:rsidRPr="00FE57FC"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>INDICADOR REALIZADO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03B" w14:textId="5657F5C6" w:rsidR="000850DE" w:rsidRPr="00FE57FC" w:rsidRDefault="008C0345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 xml:space="preserve">0,86 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6595" w14:textId="077C8340" w:rsidR="000850DE" w:rsidRPr="00FE57FC" w:rsidRDefault="00B56ED9" w:rsidP="000850D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</w:pPr>
            <w:r>
              <w:rPr>
                <w:rFonts w:ascii="Garamond" w:eastAsia="Times New Roman" w:hAnsi="Garamond" w:cs="Arial"/>
                <w:b/>
                <w:bCs/>
                <w:color w:val="002060"/>
                <w:lang w:eastAsia="pt-BR"/>
              </w:rPr>
              <w:t xml:space="preserve">1,02 </w:t>
            </w:r>
          </w:p>
        </w:tc>
      </w:tr>
    </w:tbl>
    <w:p w14:paraId="1B3808A4" w14:textId="77777777" w:rsidR="00B56ED9" w:rsidRDefault="00B56ED9" w:rsidP="000850DE">
      <w:pPr>
        <w:jc w:val="both"/>
        <w:rPr>
          <w:rFonts w:ascii="Garamond" w:hAnsi="Garamond" w:cs="Arial"/>
          <w:iCs/>
          <w:color w:val="002060"/>
          <w:sz w:val="20"/>
          <w:szCs w:val="20"/>
        </w:rPr>
      </w:pPr>
    </w:p>
    <w:p w14:paraId="73AFA3E3" w14:textId="77777777" w:rsidR="000850DE" w:rsidRPr="00FE57FC" w:rsidRDefault="000850DE" w:rsidP="000850DE">
      <w:pPr>
        <w:jc w:val="both"/>
        <w:rPr>
          <w:rFonts w:ascii="Garamond" w:hAnsi="Garamond" w:cs="Arial"/>
          <w:iCs/>
          <w:color w:val="002060"/>
          <w:sz w:val="20"/>
          <w:szCs w:val="20"/>
        </w:rPr>
      </w:pPr>
      <w:r w:rsidRPr="00FE57FC">
        <w:rPr>
          <w:rFonts w:ascii="Garamond" w:hAnsi="Garamond" w:cs="Arial"/>
          <w:iCs/>
          <w:color w:val="002060"/>
          <w:sz w:val="20"/>
          <w:szCs w:val="20"/>
        </w:rPr>
        <w:lastRenderedPageBreak/>
        <w:t>Observação: As receitas operacionais estão líquidas das deduções (impostos sobre o faturamento) e não consideram as receitas financeiras. As despesas operacionais excluem os tributos sobre o Lucro e as despesas financeiras.</w:t>
      </w:r>
    </w:p>
    <w:p w14:paraId="342F4256" w14:textId="71808DE5" w:rsidR="000850DE" w:rsidRPr="00FE57FC" w:rsidRDefault="00053FE3" w:rsidP="000850DE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Destaca-se que, em 2021, a ABGF alcançou o seu </w:t>
      </w:r>
      <w:r w:rsidR="005E65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índice de eficiência operacional abaixo de 1, que demonstra que a Empresa foi capaz de</w:t>
      </w:r>
      <w:r w:rsidR="005E659D" w:rsidRPr="00F46A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fornecer </w:t>
      </w:r>
      <w:r w:rsidR="00866EB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seus </w:t>
      </w:r>
      <w:r w:rsidR="005E659D" w:rsidRPr="00F46A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serviços de maneira mais econômica,</w:t>
      </w:r>
      <w:r w:rsidR="00866EBF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sem prejuízo na execução de sua política pública.</w:t>
      </w:r>
      <w:r w:rsidR="005E659D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B56ED9" w:rsidRPr="00F46A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866EBF" w:rsidRPr="00F46A27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No período, a</w:t>
      </w:r>
      <w:r w:rsidR="00B56ED9" w:rsidRPr="00B56ED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s despesas operacionais tiveram redução de 3,6%, decorrente principalmente, da readequação do quadro de pessoal e da redução das contratações de serviços ocorridas no exercício de 2021.</w:t>
      </w:r>
    </w:p>
    <w:p w14:paraId="60077567" w14:textId="77777777" w:rsidR="00D703FE" w:rsidRPr="00FE57FC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FE57FC">
        <w:rPr>
          <w:rFonts w:ascii="Garamond" w:hAnsi="Garamond" w:cs="Arial"/>
          <w:b/>
          <w:color w:val="002060"/>
          <w:sz w:val="24"/>
          <w:szCs w:val="24"/>
        </w:rPr>
        <w:t>5. Comentários dos Administradores</w:t>
      </w:r>
    </w:p>
    <w:p w14:paraId="192FDFFD" w14:textId="34D49D23" w:rsidR="000850DE" w:rsidRPr="00FE57FC" w:rsidRDefault="000850DE" w:rsidP="000850DE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A </w:t>
      </w:r>
      <w:r w:rsidR="00D005C6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qualificação</w:t>
      </w:r>
      <w:r w:rsidR="001E1A4E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da ABGF 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no </w:t>
      </w:r>
      <w:r w:rsidR="001E1A4E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P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rograma </w:t>
      </w:r>
      <w:r w:rsidR="001E1A4E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Nacional de Desestatização não alterou o 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compromisso d</w:t>
      </w:r>
      <w:r w:rsidR="001E1A4E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 Empresa em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manter a sua sustentabilidade econômico-financeira, de forma a 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contribuir para a 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execu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ção e 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política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s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pública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s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, com foco na governança e a integridade, pilares fundamentais para alcance dos objetivos estratégicos da Empresa na geração de valor público à sociedade. Para tanto, atua com transparência e estratégia, buscando o alinhamento e integração com os órgãos do governo brasileiro que desenvolvem políticas públicas em nossa área de atuação. </w:t>
      </w:r>
    </w:p>
    <w:p w14:paraId="5CB0B224" w14:textId="28D2E4E0" w:rsidR="000850DE" w:rsidRPr="00FE57FC" w:rsidRDefault="000850DE" w:rsidP="000850DE">
      <w:pPr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A Alta Administração da ABGF está alinhada com as 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diretrizes 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fixadas pelo Ministério </w:t>
      </w:r>
      <w:r w:rsidR="001E1A4E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da Economia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e imbuída em cumprir as orientações do Governo Federal com o objetivo de atender as demandas para concretização do processo de desestatização </w:t>
      </w:r>
      <w:r w:rsidRPr="00AA41C3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nos prazos </w:t>
      </w:r>
      <w:r w:rsidR="00D005C6" w:rsidRPr="00AA41C3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a serem </w:t>
      </w:r>
      <w:r w:rsidRPr="00AA41C3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definidos.</w:t>
      </w:r>
    </w:p>
    <w:p w14:paraId="01AF08FE" w14:textId="3674A33E" w:rsidR="00422954" w:rsidRPr="00FE57FC" w:rsidRDefault="00470491" w:rsidP="00422954">
      <w:pPr>
        <w:tabs>
          <w:tab w:val="left" w:pos="1902"/>
        </w:tabs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Em dezembro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de 202</w:t>
      </w:r>
      <w:r w:rsidR="00B56ED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1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0,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422954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foi realizada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a revisão do Planejamento Estratégico ciclo 202</w:t>
      </w:r>
      <w:r w:rsidR="00B56ED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2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-202</w:t>
      </w:r>
      <w:r w:rsidR="00B56ED9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6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422954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de melhor caracterizar o</w:t>
      </w:r>
      <w:r w:rsidR="001E1A4E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seu</w:t>
      </w:r>
      <w:r w:rsidR="00422954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propósito e orientação de atuação, devendo retratar o papel social da ABGF na condução de suas linhas de negócios, bem como a </w:t>
      </w:r>
      <w:r w:rsidR="00B22C4D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sua </w:t>
      </w:r>
      <w:r w:rsidR="00422954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contribuição para execução das políticas públicas a elas associadas.</w:t>
      </w:r>
    </w:p>
    <w:p w14:paraId="32F899B1" w14:textId="32300116" w:rsidR="00422954" w:rsidRPr="00FE57FC" w:rsidRDefault="00422954" w:rsidP="00422954">
      <w:pPr>
        <w:tabs>
          <w:tab w:val="left" w:pos="1902"/>
        </w:tabs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As diretrizes estratégicas</w:t>
      </w:r>
      <w:r w:rsidR="00913A0E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mantidas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 </w:t>
      </w:r>
      <w:r w:rsidR="00913A0E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direcionando 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os rumos para atuação da ABGF como empresa pública que exerce seu papel com eficiência e efetividade, sendo definidas por:</w:t>
      </w:r>
    </w:p>
    <w:p w14:paraId="062CF598" w14:textId="5F9AE8D9" w:rsidR="00422954" w:rsidRPr="00FE57FC" w:rsidRDefault="00422954" w:rsidP="00422954">
      <w:pPr>
        <w:pStyle w:val="PargrafodaLista"/>
        <w:numPr>
          <w:ilvl w:val="0"/>
          <w:numId w:val="7"/>
        </w:numPr>
        <w:tabs>
          <w:tab w:val="left" w:pos="1902"/>
        </w:tabs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 xml:space="preserve">Assegurar a sustentabilidade </w:t>
      </w:r>
      <w:r w:rsidR="006E03C0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econômico</w:t>
      </w:r>
      <w:r w:rsidR="006E03C0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-</w:t>
      </w:r>
      <w:r w:rsidR="006E03C0"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financeira</w:t>
      </w: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;</w:t>
      </w:r>
    </w:p>
    <w:p w14:paraId="05D68DFB" w14:textId="77777777" w:rsidR="00422954" w:rsidRPr="00FE57FC" w:rsidRDefault="00422954" w:rsidP="00422954">
      <w:pPr>
        <w:pStyle w:val="PargrafodaLista"/>
        <w:numPr>
          <w:ilvl w:val="0"/>
          <w:numId w:val="7"/>
        </w:numPr>
        <w:tabs>
          <w:tab w:val="left" w:pos="1902"/>
        </w:tabs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Assegurar a efetividade nos Sistemas de Controles Internos; e</w:t>
      </w:r>
    </w:p>
    <w:p w14:paraId="13118DC9" w14:textId="77777777" w:rsidR="00422954" w:rsidRPr="00FE57FC" w:rsidRDefault="00422954" w:rsidP="00422954">
      <w:pPr>
        <w:pStyle w:val="PargrafodaLista"/>
        <w:numPr>
          <w:ilvl w:val="0"/>
          <w:numId w:val="7"/>
        </w:numPr>
        <w:tabs>
          <w:tab w:val="left" w:pos="1902"/>
        </w:tabs>
        <w:jc w:val="both"/>
        <w:rPr>
          <w:rFonts w:ascii="Garamond" w:eastAsia="Times New Roman" w:hAnsi="Garamond" w:cs="Arial"/>
          <w:color w:val="002060"/>
          <w:sz w:val="24"/>
          <w:szCs w:val="24"/>
          <w:lang w:eastAsia="pt-BR"/>
        </w:rPr>
      </w:pPr>
      <w:r w:rsidRPr="00FE57FC">
        <w:rPr>
          <w:rFonts w:ascii="Garamond" w:eastAsia="Times New Roman" w:hAnsi="Garamond" w:cs="Arial"/>
          <w:color w:val="002060"/>
          <w:sz w:val="24"/>
          <w:szCs w:val="24"/>
          <w:lang w:eastAsia="pt-BR"/>
        </w:rPr>
        <w:t>Garantir a continuidade e qualidade na execução dos serviços prestados à União.</w:t>
      </w:r>
    </w:p>
    <w:p w14:paraId="7473278D" w14:textId="77777777" w:rsidR="00DB1F53" w:rsidRPr="00FE57FC" w:rsidRDefault="004425AF" w:rsidP="00422954">
      <w:pPr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FE57FC">
        <w:rPr>
          <w:rFonts w:ascii="Garamond" w:hAnsi="Garamond" w:cs="Arial"/>
          <w:b/>
          <w:color w:val="002060"/>
          <w:sz w:val="24"/>
          <w:szCs w:val="24"/>
        </w:rPr>
        <w:t>6. Estruturas de Controles Internos e Gerenciamento de Riscos</w:t>
      </w:r>
    </w:p>
    <w:p w14:paraId="00C12F0F" w14:textId="5D9BBA78" w:rsidR="00C660CB" w:rsidRPr="00FE57FC" w:rsidRDefault="00C660CB" w:rsidP="003048E2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estrutura de governança está organizada em dois pilares de sustentação, sendo um orientado para gestão corporativa e o outro para fiscalização e controle, sendo composta </w:t>
      </w:r>
      <w:r w:rsidR="00D727C1">
        <w:rPr>
          <w:rFonts w:ascii="Garamond" w:eastAsia="Klavika-Bold" w:hAnsi="Garamond" w:cs="Arial"/>
          <w:bCs/>
          <w:color w:val="002060"/>
          <w:sz w:val="24"/>
          <w:szCs w:val="24"/>
        </w:rPr>
        <w:t>pela seguinte estrutura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: Assembleia Geral de Acionistas, Conselho de Administração, Conselho Fiscal, Diretoria-Executiva, Comitê de Auditoria, 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Comitê de Pessoas, Elegibilidade, Sucessão e Remuneração,</w:t>
      </w:r>
      <w:r w:rsidR="001E1A4E" w:rsidRPr="00FE57FC">
        <w:rPr>
          <w:color w:val="002060"/>
        </w:rPr>
        <w:t xml:space="preserve">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Auditoria Interna e Auditoria Independente. </w:t>
      </w:r>
    </w:p>
    <w:p w14:paraId="0E36F60B" w14:textId="0D73D863" w:rsidR="00C660CB" w:rsidRPr="00FE57FC" w:rsidRDefault="00C660CB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 Assembleia Geral de Acionista</w:t>
      </w:r>
      <w:r w:rsidR="00811BEA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s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é </w:t>
      </w:r>
      <w:r w:rsidR="00811BEA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Órgão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máximo da ABGF, com poderes para deliberar sobre os negócios relativos ao seu objeto. A União é a única acionista e é representada nas assembleias pela Procuradoria-Geral da Fazenda Nacional (PGFN), que atua seguindo as orientações do Governo Federal. </w:t>
      </w:r>
    </w:p>
    <w:p w14:paraId="6D89C22F" w14:textId="1F6C451E" w:rsidR="00C660CB" w:rsidRPr="00FE57FC" w:rsidRDefault="00C660CB" w:rsidP="003048E2">
      <w:pPr>
        <w:jc w:val="both"/>
        <w:rPr>
          <w:rFonts w:ascii="Garamond" w:hAnsi="Garamond" w:cs="Arial"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lastRenderedPageBreak/>
        <w:t xml:space="preserve">O Conselho de Administração é o órgão colegiado responsável pela orientação geral de negócios </w:t>
      </w:r>
      <w:r w:rsidR="00811BEA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decid</w:t>
      </w:r>
      <w:r w:rsidR="00811BEA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e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sobre os rumos estratégicos da ABGF. Além de definir as diretrizes estratégicas, é o guardião do sistema de governança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 conta com dois órgãos de assessoramento: o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Comitê de Auditoria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; e o Comitê de Pessoas, Elegibilidade, Sucessão e Remuneração.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</w:p>
    <w:p w14:paraId="58EB87A3" w14:textId="77777777" w:rsidR="005E3705" w:rsidRPr="00FE57FC" w:rsidRDefault="005E3705" w:rsidP="003048E2">
      <w:pPr>
        <w:widowControl w:val="0"/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O Comitê de Auditoria é um órgão de assessoramento ao Conselho de Administração no que se refere ao exercício de suas funções de auditoria e de fiscalização sobre a qualidade das demonstrações contábeis e a efetividade dos sistemas de controles internos e das auditorias interna e independente.</w:t>
      </w:r>
    </w:p>
    <w:p w14:paraId="5EBF5280" w14:textId="77777777" w:rsidR="005E3705" w:rsidRPr="00FE57FC" w:rsidRDefault="005E3705" w:rsidP="003048E2">
      <w:pPr>
        <w:widowControl w:val="0"/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O Comitê de Pessoas, Elegibilidade, Sucessão e Remuneração, que tem por finalidade assessorar os acionistas e o Conselho nos processos de indicação, de avaliação, de sucessão e remuneração dos administradores, conselheiros fiscais e demais membros de órgãos estatutários.</w:t>
      </w:r>
    </w:p>
    <w:p w14:paraId="6CCCF3FB" w14:textId="17A457D6" w:rsidR="00C660CB" w:rsidRPr="00FE57FC" w:rsidRDefault="00C660CB" w:rsidP="003048E2">
      <w:pPr>
        <w:widowControl w:val="0"/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 Diretoria-Executiva é o órgão responsável pela administração da ABGF, cabendo-lhe cumprir e fazer cumprir o Estatuto Social, as deliberações da Assembleia Geral de Acionistas, as decisões e a orientação geral dos negócios</w:t>
      </w:r>
      <w:r w:rsidR="00B22C4D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,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emanadas pelo Conselho de Administração, de forma a garantir o funcionamento da ABGF. A Diretoria Executiva é composta por </w:t>
      </w:r>
      <w:r w:rsidR="000E4A5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três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membros, sendo o Presidente, </w:t>
      </w:r>
      <w:r w:rsidR="00F3051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Diretor</w:t>
      </w:r>
      <w:r w:rsidR="00F3051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de </w:t>
      </w:r>
      <w:r w:rsidR="00F3051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Garantias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 o Diretor Administrativo </w:t>
      </w:r>
      <w:r w:rsidR="00811BEA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Financeiro. As decisões da Diretoria Executiva buscam </w:t>
      </w:r>
      <w:r w:rsidR="007C5C6D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viabilizar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as diretrizes estratégicas estabelecidas </w:t>
      </w:r>
      <w:r w:rsidR="00B22C4D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de forma a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gerar valor e garantir a sustentabilidade da ABGF.</w:t>
      </w:r>
    </w:p>
    <w:p w14:paraId="0DB8CB37" w14:textId="77777777" w:rsidR="00C660CB" w:rsidRPr="00FE57FC" w:rsidRDefault="00C660CB" w:rsidP="003048E2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 Conselho Fiscal é </w:t>
      </w:r>
      <w:r w:rsidR="00811BEA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o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="00F20193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ó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rgão permanente de fiscalização da gestão orçamentária, financeira e patrimonial da Empresa. Vinculado diretamente à Assembleia Geral de Acionistas, o Conselho Fiscal tem um papel relevante na fiscalização independente dos atos </w:t>
      </w:r>
      <w:r w:rsidR="00811BEA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de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gestão. </w:t>
      </w:r>
    </w:p>
    <w:p w14:paraId="3511DA37" w14:textId="108785F4" w:rsidR="001E1A4E" w:rsidRPr="00FE57FC" w:rsidRDefault="00C660CB" w:rsidP="001E1A4E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 ABGF conta ainda, com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: 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Auditoria Interna, responsável por avaliar a adequabilidade dos controles internos e do gerenciamento de riscos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; 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Auditoria Independente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,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empresa 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contratada para auditar as demonstrações contábeis e financeiras da ABGF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;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 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Gerência de 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Gestão de 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Riscos e Conformidade, responsável pelas verificações do cumprimento dos controles e da conformidade com os regulamentos internos e externos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.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</w:t>
      </w:r>
    </w:p>
    <w:p w14:paraId="08ED2F4C" w14:textId="77777777" w:rsidR="00D703FE" w:rsidRPr="00FE57FC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FE57FC">
        <w:rPr>
          <w:rFonts w:ascii="Garamond" w:hAnsi="Garamond" w:cs="Arial"/>
          <w:b/>
          <w:color w:val="002060"/>
          <w:sz w:val="24"/>
          <w:szCs w:val="24"/>
        </w:rPr>
        <w:t>7. Fatores de Risco</w:t>
      </w:r>
    </w:p>
    <w:p w14:paraId="0E3C3CBF" w14:textId="3D219F7C" w:rsidR="001E1A4E" w:rsidRPr="00FE57FC" w:rsidRDefault="0059067E" w:rsidP="001E1A4E">
      <w:pPr>
        <w:jc w:val="both"/>
        <w:rPr>
          <w:color w:val="002060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O modelo de gestão de riscos da ABGF está fundamentado em metodologia própria que tomou por base as meto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dologias de gestão de riscos do </w:t>
      </w:r>
      <w:proofErr w:type="spellStart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Com</w:t>
      </w:r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softHyphen/>
        <w:t>mittee</w:t>
      </w:r>
      <w:proofErr w:type="spellEnd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of</w:t>
      </w:r>
      <w:proofErr w:type="spellEnd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Sponsoring</w:t>
      </w:r>
      <w:proofErr w:type="spellEnd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Organizations</w:t>
      </w:r>
      <w:proofErr w:type="spellEnd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of</w:t>
      </w:r>
      <w:proofErr w:type="spellEnd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the</w:t>
      </w:r>
      <w:proofErr w:type="spellEnd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Treadway</w:t>
      </w:r>
      <w:proofErr w:type="spellEnd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 xml:space="preserve"> </w:t>
      </w:r>
      <w:proofErr w:type="spellStart"/>
      <w:r w:rsidRPr="00FE57FC">
        <w:rPr>
          <w:rFonts w:ascii="Garamond" w:eastAsia="Klavika-Bold" w:hAnsi="Garamond" w:cs="Arial"/>
          <w:bCs/>
          <w:i/>
          <w:color w:val="002060"/>
          <w:sz w:val="24"/>
          <w:szCs w:val="24"/>
        </w:rPr>
        <w:t>Commission</w:t>
      </w:r>
      <w:proofErr w:type="spellEnd"/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(COSO) e da ISO 31000 da Associação Brasileira de Normas Técnicas (ABNT)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. Estas metodologias são a base para a Política de Gestão de Riscos e Controles Internos da ABGF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,</w:t>
      </w:r>
      <w:r w:rsidR="001E1A4E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que estabelece as diretrizes e responsabilidades a serem observadas para todas as instâncias da Empresa, na gestão dos riscos incorridos, bem como assegurar um ambiente interno de conformidade e controles.</w:t>
      </w:r>
    </w:p>
    <w:p w14:paraId="37F31F76" w14:textId="77777777" w:rsidR="0059067E" w:rsidRPr="00FE57FC" w:rsidRDefault="0059067E" w:rsidP="007E59CF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 estrutura de gerenciamento de ris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cos da ABGF é composta pelos se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guintes elementos: ambiente interno, fixação de objetivos, identificação de eventos, avaliação de riscos, resposta a riscos, atividades de conformidade e controles internos, informação, co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municação, e, por fim, monitoramen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to. </w:t>
      </w:r>
    </w:p>
    <w:p w14:paraId="050AD4ED" w14:textId="77777777" w:rsidR="0059067E" w:rsidRPr="00FE57FC" w:rsidRDefault="0059067E" w:rsidP="0059067E">
      <w:pPr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lastRenderedPageBreak/>
        <w:t>Para tanto, foi definido um glossá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>rio de riscos como apoio de referên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cia nos levantamentos dos riscos da ABGF, explicitando os pilares de riscos que a empresa está exposta. Esses pilares reúnem os </w:t>
      </w:r>
      <w:r w:rsidR="00811BEA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oito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principais agrupamentos de riscos: estratégico, operacional, Imagem/Reputação, Le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softHyphen/>
        <w:t xml:space="preserve">gal, Subscrição, Mercado, Crédito e </w:t>
      </w:r>
      <w:r w:rsidR="002710DB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Liquidez.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Esses pilares e as </w:t>
      </w:r>
      <w:r w:rsidR="00BA70A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respectivas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ações de mitigação </w:t>
      </w:r>
      <w:r w:rsidR="00BA70A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estão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detalhadas </w:t>
      </w:r>
      <w:r w:rsidR="00982C6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no quadro </w:t>
      </w:r>
      <w:r w:rsidR="00BA70A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a seguir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: </w:t>
      </w:r>
      <w:r w:rsidR="002710DB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                  </w:t>
      </w:r>
    </w:p>
    <w:tbl>
      <w:tblPr>
        <w:tblStyle w:val="Tabelacomgrade"/>
        <w:tblW w:w="5000" w:type="pct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539"/>
        <w:gridCol w:w="3279"/>
        <w:gridCol w:w="4902"/>
      </w:tblGrid>
      <w:tr w:rsidR="00FE57FC" w:rsidRPr="00FE57FC" w14:paraId="0E81EADB" w14:textId="77777777" w:rsidTr="009239B4">
        <w:trPr>
          <w:trHeight w:val="451"/>
        </w:trPr>
        <w:tc>
          <w:tcPr>
            <w:tcW w:w="309" w:type="pct"/>
            <w:shd w:val="clear" w:color="auto" w:fill="002060"/>
            <w:vAlign w:val="center"/>
          </w:tcPr>
          <w:p w14:paraId="0B974086" w14:textId="77777777" w:rsidR="007011B4" w:rsidRPr="00FE57FC" w:rsidRDefault="007011B4" w:rsidP="001E1A4E">
            <w:pPr>
              <w:rPr>
                <w:rFonts w:ascii="Garamond" w:eastAsia="Klavika-Bold" w:hAnsi="Garamond" w:cstheme="minorHAnsi"/>
                <w:b/>
                <w:bCs/>
                <w:color w:val="002060"/>
              </w:rPr>
            </w:pPr>
          </w:p>
        </w:tc>
        <w:tc>
          <w:tcPr>
            <w:tcW w:w="1880" w:type="pct"/>
            <w:shd w:val="clear" w:color="auto" w:fill="002060"/>
            <w:vAlign w:val="center"/>
          </w:tcPr>
          <w:p w14:paraId="4492FF8A" w14:textId="77777777" w:rsidR="007011B4" w:rsidRPr="00FE57FC" w:rsidRDefault="007011B4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Principais Riscos</w:t>
            </w:r>
          </w:p>
        </w:tc>
        <w:tc>
          <w:tcPr>
            <w:tcW w:w="2811" w:type="pct"/>
            <w:shd w:val="clear" w:color="auto" w:fill="002060"/>
            <w:vAlign w:val="center"/>
          </w:tcPr>
          <w:p w14:paraId="56622713" w14:textId="77777777" w:rsidR="007011B4" w:rsidRPr="00FE57FC" w:rsidRDefault="007011B4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Mitigadores</w:t>
            </w:r>
          </w:p>
        </w:tc>
      </w:tr>
      <w:tr w:rsidR="00FE57FC" w:rsidRPr="00FE57FC" w14:paraId="59917655" w14:textId="77777777" w:rsidTr="009239B4">
        <w:trPr>
          <w:cantSplit/>
          <w:trHeight w:val="2085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291B9D11" w14:textId="77777777" w:rsidR="007011B4" w:rsidRPr="00FE57FC" w:rsidRDefault="007011B4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Estratégico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14:paraId="23654FEC" w14:textId="77777777" w:rsidR="007011B4" w:rsidRPr="00FE57FC" w:rsidRDefault="007011B4" w:rsidP="001E1A4E">
            <w:pPr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Perdas resultante</w:t>
            </w:r>
            <w:r w:rsidR="00BA70A7" w:rsidRPr="00FE57FC">
              <w:rPr>
                <w:rFonts w:ascii="Garamond" w:eastAsia="Klavika-Bold" w:hAnsi="Garamond" w:cstheme="minorHAnsi"/>
                <w:bCs/>
                <w:color w:val="002060"/>
              </w:rPr>
              <w:t>s</w:t>
            </w: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 de incerteza que afetam a realização das diretrizes estratégicas da Empresa, ou seja, do insucesso das estratégias adotadas, levando-se em conta a dinâmica dos negócios (concorrência, clientes, fornecedores e investimentos) e as alterações políticas e econômicas no País e fora dele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14:paraId="00B7D3CD" w14:textId="77777777" w:rsidR="007011B4" w:rsidRPr="00FE57FC" w:rsidRDefault="007011B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Disseminar os objetivos estratégicos definidos no Planejamento Estratégico a todos os níveis da Empresa, bem como sua missão, visão e valores</w:t>
            </w:r>
            <w:r w:rsidR="00BA70A7" w:rsidRPr="00FE57FC">
              <w:rPr>
                <w:rFonts w:ascii="Garamond" w:eastAsia="Klavika-Bold" w:hAnsi="Garamond" w:cstheme="minorHAnsi"/>
                <w:bCs/>
                <w:color w:val="002060"/>
              </w:rPr>
              <w:t>.</w:t>
            </w:r>
          </w:p>
          <w:p w14:paraId="27450264" w14:textId="77777777" w:rsidR="007011B4" w:rsidRPr="00FE57FC" w:rsidRDefault="007011B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Acompanhar e monitorar os indicadores de desempenho, a fim de cumprir os objetivos institucionais e metas estabelecidas</w:t>
            </w:r>
            <w:r w:rsidR="00BA70A7" w:rsidRPr="00FE57FC">
              <w:rPr>
                <w:rFonts w:ascii="Garamond" w:eastAsia="Klavika-Bold" w:hAnsi="Garamond" w:cstheme="minorHAnsi"/>
                <w:bCs/>
                <w:color w:val="002060"/>
              </w:rPr>
              <w:t>.</w:t>
            </w: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 </w:t>
            </w:r>
          </w:p>
          <w:p w14:paraId="1D798289" w14:textId="77777777" w:rsidR="007011B4" w:rsidRPr="00FE57FC" w:rsidRDefault="007011B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Fortalecer a cultura ética.</w:t>
            </w:r>
          </w:p>
        </w:tc>
      </w:tr>
      <w:tr w:rsidR="00FE57FC" w:rsidRPr="00FE57FC" w14:paraId="0CE0C7EF" w14:textId="77777777" w:rsidTr="009239B4">
        <w:trPr>
          <w:cantSplit/>
          <w:trHeight w:val="1085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3C7571AF" w14:textId="77777777" w:rsidR="005B1954" w:rsidRPr="00FE57FC" w:rsidRDefault="005B1954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Legal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14:paraId="00971DCC" w14:textId="77777777" w:rsidR="005B1954" w:rsidRPr="00FE57FC" w:rsidRDefault="005B1954" w:rsidP="001E1A4E">
            <w:pPr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Perdas decorrente de atos de órgãos externos de supervisão e controle, bem como </w:t>
            </w:r>
            <w:r w:rsidR="00BA70A7"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de </w:t>
            </w: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decisão desfavorável em processos judiciais ou administrativos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14:paraId="405EB8B5" w14:textId="77777777" w:rsidR="005B1954" w:rsidRPr="00FE57FC" w:rsidRDefault="005B195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Monitorar processos judiciais e administrativos de forma a identificar as probabilidades de perda, a fim de permitir a atuação tempestiva da Empresa.</w:t>
            </w:r>
          </w:p>
        </w:tc>
      </w:tr>
      <w:tr w:rsidR="00FE57FC" w:rsidRPr="00FE57FC" w14:paraId="78C2FC36" w14:textId="77777777" w:rsidTr="009239B4">
        <w:trPr>
          <w:cantSplit/>
          <w:trHeight w:val="1273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2662C20A" w14:textId="77777777" w:rsidR="005B1954" w:rsidRPr="00FE57FC" w:rsidRDefault="005B1954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Imagem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14:paraId="35BAC589" w14:textId="77777777" w:rsidR="005B1954" w:rsidRPr="00FE57FC" w:rsidRDefault="005B1954" w:rsidP="001E1A4E">
            <w:pPr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Comprometimento da confiança dos clientes, parceiros, fornecedores e sociedade em relação à capacidade da ABGF em cumprir sua missão institucional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14:paraId="5938F2AF" w14:textId="77777777" w:rsidR="005B1954" w:rsidRPr="00FE57FC" w:rsidRDefault="005B195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Avaliar e tratar as situações que possam afetar adversamente a sustentabilidade do negócio, com base na Política de Divulgação de Informações, de Relacionamento com a Imprensa e </w:t>
            </w:r>
            <w:r w:rsidR="00BA70A7"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de </w:t>
            </w: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Porta-Vozes.</w:t>
            </w:r>
          </w:p>
        </w:tc>
      </w:tr>
      <w:tr w:rsidR="00FE57FC" w:rsidRPr="00FE57FC" w14:paraId="7D62444C" w14:textId="77777777" w:rsidTr="009239B4">
        <w:trPr>
          <w:cantSplit/>
          <w:trHeight w:val="2032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6B529F3F" w14:textId="77777777" w:rsidR="005B1954" w:rsidRPr="00FE57FC" w:rsidRDefault="005B1954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Operacional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14:paraId="5BB42900" w14:textId="77777777" w:rsidR="005B1954" w:rsidRPr="00FE57FC" w:rsidRDefault="005B1954" w:rsidP="001E1A4E">
            <w:pPr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Comprometimento das atividades da ABGF, normalmente associado a falhas, deficiência ou inadequação de processos internos, pessoas, infraestrutura e sistemas, bem como eventos relacionados a corrupção, fraudes, irregularidades e/ou desvios éticos e de conduta que podem comprometer os valores e padrões preconizados pela Empresa e a realização de seus objetivos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14:paraId="2995BB3F" w14:textId="77777777" w:rsidR="005B1954" w:rsidRPr="00FE57FC" w:rsidRDefault="005B195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Identificar, avaliar, tratar e monitorar periodicamente os riscos operacionais da Empresa utilizando metodologia própria, definida de acordo com as melhores práticas em gestão de riscos e controles internos.</w:t>
            </w:r>
          </w:p>
          <w:p w14:paraId="703D15FB" w14:textId="77777777" w:rsidR="005B1954" w:rsidRPr="00FE57FC" w:rsidRDefault="005B195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Observar, na identificação e análise do risco operacional, as perspectivas de exposição a riscos relacionados à corrupção, lavagem de dinheiro, segurança da informação, conformidade, fraude e continuidade de negócios.</w:t>
            </w:r>
          </w:p>
          <w:p w14:paraId="728143EE" w14:textId="77777777" w:rsidR="005B1954" w:rsidRPr="00FE57FC" w:rsidRDefault="005B195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Observar o disposto nas Políticas Institucionais</w:t>
            </w:r>
          </w:p>
          <w:p w14:paraId="6417E424" w14:textId="77777777" w:rsidR="005B1954" w:rsidRPr="00FE57FC" w:rsidRDefault="005B195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Avaliar os riscos operacionais a fim de assegurar a confiabilidade, a conformidade, a integridade, o exercício de alçadas decisórias, a disponibilidade das informações e dos processos da ABGF.</w:t>
            </w:r>
          </w:p>
          <w:p w14:paraId="03981B77" w14:textId="77777777" w:rsidR="005B1954" w:rsidRPr="00FE57FC" w:rsidRDefault="005B1954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Estabelecer controles proporcionais ao risco, observada a relação custo-benefício e destinados a </w:t>
            </w:r>
            <w:r w:rsidR="00BA70A7"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agregar </w:t>
            </w: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valor à ABGF.</w:t>
            </w:r>
          </w:p>
        </w:tc>
      </w:tr>
    </w:tbl>
    <w:p w14:paraId="365DE96D" w14:textId="29F51E1B" w:rsidR="00FE57FC" w:rsidRDefault="00FE57FC"/>
    <w:tbl>
      <w:tblPr>
        <w:tblStyle w:val="Tabelacomgrade"/>
        <w:tblW w:w="5000" w:type="pct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539"/>
        <w:gridCol w:w="3279"/>
        <w:gridCol w:w="4902"/>
      </w:tblGrid>
      <w:tr w:rsidR="00FE57FC" w:rsidRPr="00FE57FC" w14:paraId="5D8AF174" w14:textId="77777777" w:rsidTr="00FE57FC">
        <w:trPr>
          <w:cantSplit/>
          <w:trHeight w:val="454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00388F3D" w14:textId="77777777" w:rsidR="00FE57FC" w:rsidRPr="00FE57FC" w:rsidRDefault="00FE57FC" w:rsidP="00FE57FC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880" w:type="pct"/>
            <w:shd w:val="clear" w:color="auto" w:fill="002060"/>
            <w:vAlign w:val="center"/>
          </w:tcPr>
          <w:p w14:paraId="14DBCB2A" w14:textId="520C5916" w:rsidR="00FE57FC" w:rsidRPr="00FE57FC" w:rsidRDefault="00FE57FC" w:rsidP="00FE57FC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Principais Riscos</w:t>
            </w:r>
          </w:p>
        </w:tc>
        <w:tc>
          <w:tcPr>
            <w:tcW w:w="2811" w:type="pct"/>
            <w:shd w:val="clear" w:color="auto" w:fill="002060"/>
            <w:vAlign w:val="center"/>
          </w:tcPr>
          <w:p w14:paraId="4F0DBFFB" w14:textId="3EC28672" w:rsidR="00FE57FC" w:rsidRPr="00FE57FC" w:rsidRDefault="00FE57FC" w:rsidP="00FE57FC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Mitigadores</w:t>
            </w:r>
          </w:p>
        </w:tc>
      </w:tr>
      <w:tr w:rsidR="00FE57FC" w:rsidRPr="00FE57FC" w14:paraId="1F5C184A" w14:textId="77777777" w:rsidTr="009239B4">
        <w:trPr>
          <w:cantSplit/>
          <w:trHeight w:val="2374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3DE30DEC" w14:textId="77777777" w:rsidR="009F6F06" w:rsidRPr="00FE57FC" w:rsidRDefault="009F6F06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lastRenderedPageBreak/>
              <w:t>Liquidez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14:paraId="4A99E961" w14:textId="77777777" w:rsidR="009F6F06" w:rsidRPr="00FE57FC" w:rsidRDefault="009F6F06" w:rsidP="001E1A4E">
            <w:pPr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Perda resultante do descasamento entre a entrada de recursos (recebimento de prêmios, recuperações e prestações de serviço) para atender às exigências de caixa que impactem o cumprimento de obrigações/compromissos programados, levando em consideração as diferentes moedas e prazos de liquidação de seus direitos e obrigações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14:paraId="0D9B157E" w14:textId="77777777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Observar o disposto na Política de Gestão de Caixa e Investimentos.</w:t>
            </w:r>
          </w:p>
          <w:p w14:paraId="119441CB" w14:textId="77777777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Monitorar o volume de capital disponível para que o mesmo seja suficiente para saldar seus compromissos, sejam para despesas operacionais ou para a cobertura das reservas relacionadas aos riscos do negócio.</w:t>
            </w:r>
          </w:p>
          <w:p w14:paraId="7FACB301" w14:textId="77777777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Manter os níveis de ativos com alto grau de conversibilidade em espécie compatível com a necessidade de cobertura de passivos e outras destinações previstas para o curto prazo.</w:t>
            </w:r>
          </w:p>
        </w:tc>
      </w:tr>
      <w:tr w:rsidR="00FE57FC" w:rsidRPr="00FE57FC" w14:paraId="0C683C7D" w14:textId="77777777" w:rsidTr="009239B4">
        <w:trPr>
          <w:cantSplit/>
          <w:trHeight w:val="1104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2B1C8A27" w14:textId="77777777" w:rsidR="009F6F06" w:rsidRPr="00FE57FC" w:rsidRDefault="009F6F06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Crédito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14:paraId="00ECC7A6" w14:textId="77777777" w:rsidR="009F6F06" w:rsidRPr="00FE57FC" w:rsidRDefault="009F6F06" w:rsidP="001E1A4E">
            <w:pPr>
              <w:autoSpaceDE w:val="0"/>
              <w:autoSpaceDN w:val="0"/>
              <w:adjustRightInd w:val="0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Perdas decorrentes de descumprimento, pelo tomador ou contrapartes, das suas obrigações financeiras nos termos pactuados.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14:paraId="16B3D7BD" w14:textId="77777777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Adotar metodologias que permitam o monitoramento da classificação de risco de contrapartes, limites de exposição e de concentração, bem como a definição de critérios qualitativos e quantitativos a serem observados na concessão das garantias.</w:t>
            </w:r>
          </w:p>
        </w:tc>
      </w:tr>
      <w:tr w:rsidR="00FE57FC" w:rsidRPr="00FE57FC" w14:paraId="6E20DE65" w14:textId="77777777" w:rsidTr="009239B4">
        <w:trPr>
          <w:cantSplit/>
          <w:trHeight w:val="1262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15E549B0" w14:textId="77777777" w:rsidR="009F6F06" w:rsidRPr="00FE57FC" w:rsidRDefault="009F6F06" w:rsidP="001E1A4E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Mercado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14:paraId="18489E99" w14:textId="77777777" w:rsidR="009F6F06" w:rsidRPr="00FE57FC" w:rsidRDefault="009F6F06" w:rsidP="001E1A4E">
            <w:pPr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Perda resultante de flutuações de valores de mercado de posições detidas pela Empresa, bem como de perdas referentes </w:t>
            </w:r>
            <w:proofErr w:type="gramStart"/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à</w:t>
            </w:r>
            <w:proofErr w:type="gramEnd"/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 xml:space="preserve"> mudanças nas condições políticas, econômicas ou financeiras do Brasil ou de outros países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14:paraId="34F91183" w14:textId="77777777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Observar o disposto na Política de Gestão de Caixa e Investimentos.</w:t>
            </w:r>
          </w:p>
          <w:p w14:paraId="52219A14" w14:textId="77777777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Monitorar os fatores de risco que influenciam diretamente no retorno dos investimentos da Empresa, incluindo as posições de mercado e as condições econômicas e financeiras do Brasil e dos demais países.</w:t>
            </w:r>
          </w:p>
        </w:tc>
      </w:tr>
      <w:tr w:rsidR="00FE57FC" w:rsidRPr="00FE57FC" w14:paraId="4622B22C" w14:textId="77777777" w:rsidTr="009239B4">
        <w:trPr>
          <w:cantSplit/>
          <w:trHeight w:val="2032"/>
        </w:trPr>
        <w:tc>
          <w:tcPr>
            <w:tcW w:w="309" w:type="pct"/>
            <w:shd w:val="clear" w:color="auto" w:fill="002060"/>
            <w:textDirection w:val="btLr"/>
            <w:vAlign w:val="center"/>
          </w:tcPr>
          <w:p w14:paraId="7E00CB37" w14:textId="203F1EEB" w:rsidR="009F6F06" w:rsidRPr="00FE57FC" w:rsidRDefault="009F6F06" w:rsidP="00E43461">
            <w:pPr>
              <w:jc w:val="center"/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</w:pPr>
            <w:r w:rsidRPr="00FE57FC">
              <w:rPr>
                <w:rFonts w:ascii="Garamond" w:eastAsia="Klavika-Bold" w:hAnsi="Garamond" w:cstheme="minorHAnsi"/>
                <w:b/>
                <w:bCs/>
                <w:color w:val="FFFFFF" w:themeColor="background1"/>
              </w:rPr>
              <w:t>Subscrição</w:t>
            </w:r>
          </w:p>
        </w:tc>
        <w:tc>
          <w:tcPr>
            <w:tcW w:w="1880" w:type="pct"/>
            <w:shd w:val="clear" w:color="auto" w:fill="DAEEF3" w:themeFill="accent5" w:themeFillTint="33"/>
            <w:vAlign w:val="center"/>
          </w:tcPr>
          <w:p w14:paraId="7F80E700" w14:textId="1FBA9CB9" w:rsidR="009F6F06" w:rsidRPr="00FE57FC" w:rsidRDefault="009F6F06" w:rsidP="001E1A4E">
            <w:pPr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Perdas que contrariarem as expectativas da ABGF quando operando nas falhas do mercado segurador, associados, direta ou indiretamente, às bases técnicas utilizadas para cálculos de prêmios, quotas e provisões técnicas</w:t>
            </w:r>
          </w:p>
        </w:tc>
        <w:tc>
          <w:tcPr>
            <w:tcW w:w="2811" w:type="pct"/>
            <w:shd w:val="clear" w:color="auto" w:fill="DAEEF3" w:themeFill="accent5" w:themeFillTint="33"/>
            <w:vAlign w:val="center"/>
          </w:tcPr>
          <w:p w14:paraId="0F2AEC1B" w14:textId="1196F793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Observar o disposto na Política de Subscrição de Risco;</w:t>
            </w:r>
          </w:p>
          <w:p w14:paraId="7CB07A15" w14:textId="2E3668C9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Adotar metodologias baseadas nas boas práticas de mercado que garantam a precificação adequada ao risco assumido.</w:t>
            </w:r>
          </w:p>
          <w:p w14:paraId="19487343" w14:textId="5EF845FA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Garantir solvência da carteira utilizando-se provisões técnicas periodicamente testadas e avaliadas</w:t>
            </w:r>
          </w:p>
          <w:p w14:paraId="0B7AA018" w14:textId="5039E7DE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Assegurar que as análises de risco observem a exposição ao risco e as características do produto.</w:t>
            </w:r>
          </w:p>
          <w:p w14:paraId="7A5C6885" w14:textId="5881225D" w:rsidR="009F6F06" w:rsidRPr="00FE57FC" w:rsidRDefault="009F6F06" w:rsidP="001E1A4E">
            <w:pPr>
              <w:numPr>
                <w:ilvl w:val="0"/>
                <w:numId w:val="4"/>
              </w:numPr>
              <w:ind w:left="313" w:hanging="357"/>
              <w:rPr>
                <w:rFonts w:ascii="Garamond" w:eastAsia="Klavika-Bold" w:hAnsi="Garamond" w:cstheme="minorHAnsi"/>
                <w:bCs/>
                <w:color w:val="002060"/>
              </w:rPr>
            </w:pPr>
            <w:r w:rsidRPr="00FE57FC">
              <w:rPr>
                <w:rFonts w:ascii="Garamond" w:eastAsia="Klavika-Bold" w:hAnsi="Garamond" w:cstheme="minorHAnsi"/>
                <w:bCs/>
                <w:color w:val="002060"/>
              </w:rPr>
              <w:t>Definir a Declaração de Apetite ao Risco.</w:t>
            </w:r>
          </w:p>
        </w:tc>
      </w:tr>
    </w:tbl>
    <w:p w14:paraId="521FEE83" w14:textId="77777777" w:rsidR="00D703FE" w:rsidRPr="00FE57FC" w:rsidRDefault="004425AF" w:rsidP="003048E2">
      <w:pPr>
        <w:spacing w:before="120" w:after="120" w:line="240" w:lineRule="auto"/>
        <w:jc w:val="both"/>
        <w:rPr>
          <w:rFonts w:ascii="Garamond" w:hAnsi="Garamond" w:cs="Arial"/>
          <w:b/>
          <w:color w:val="002060"/>
          <w:sz w:val="24"/>
          <w:szCs w:val="24"/>
        </w:rPr>
      </w:pPr>
      <w:r w:rsidRPr="00FE57FC">
        <w:rPr>
          <w:rFonts w:ascii="Garamond" w:hAnsi="Garamond" w:cs="Arial"/>
          <w:b/>
          <w:color w:val="002060"/>
          <w:sz w:val="24"/>
          <w:szCs w:val="24"/>
        </w:rPr>
        <w:t>8. Remuneração</w:t>
      </w:r>
    </w:p>
    <w:p w14:paraId="2E0DF254" w14:textId="564ADC18" w:rsidR="003706EE" w:rsidRPr="00FE57FC" w:rsidRDefault="004425AF" w:rsidP="003048E2">
      <w:pPr>
        <w:spacing w:before="120" w:after="120" w:line="240" w:lineRule="auto"/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Conforme previsto no </w:t>
      </w:r>
      <w:r w:rsidR="00BA70A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art. </w:t>
      </w:r>
      <w:r w:rsidR="005D409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29 </w:t>
      </w:r>
      <w:r w:rsidR="00BA70A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do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Estatuto Social da ABGF, a remuneração e demais benefícios </w:t>
      </w:r>
      <w:r w:rsidR="005D409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dos membros estatutários e, quando aplicável, dos demais comitês de assessoramento,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é fixada anualmente pela Assembleia Geral Ordinária, observada</w:t>
      </w:r>
      <w:r w:rsidR="005D4091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a legislação vigente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. Os valores referentes à remuneração da Diretoria Executiva são definidos pela Secretaria de Coordenação e Governança das Empresas Estatais do Ministério</w:t>
      </w:r>
      <w:r w:rsidR="00456746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da Economia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 e acatados pela empresa. A remuneração total engloba remuneração fixa e benefícios. </w:t>
      </w:r>
    </w:p>
    <w:p w14:paraId="68165914" w14:textId="77777777" w:rsidR="008B3BF8" w:rsidRPr="00FE57FC" w:rsidRDefault="004425AF" w:rsidP="003048E2">
      <w:pPr>
        <w:tabs>
          <w:tab w:val="left" w:pos="1418"/>
        </w:tabs>
        <w:spacing w:before="120" w:after="120" w:line="240" w:lineRule="auto"/>
        <w:jc w:val="both"/>
        <w:rPr>
          <w:rFonts w:ascii="Garamond" w:eastAsia="Klavika-Bold" w:hAnsi="Garamond" w:cs="Arial"/>
          <w:bCs/>
          <w:color w:val="002060"/>
          <w:sz w:val="24"/>
          <w:szCs w:val="24"/>
        </w:rPr>
      </w:pP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A SEST fixou, ainda, a remuneração mensal dos conselheiros em 10% </w:t>
      </w:r>
      <w:r w:rsidR="00BA70A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(dez por cento)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da remuneração anual média atribuída a cada diretor, incluindo 1/12 </w:t>
      </w:r>
      <w:r w:rsidR="00BA70A7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 xml:space="preserve">(hum doze avos) </w:t>
      </w:r>
      <w:r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de gratificação natalina, dividida pelo fator 12 (doze), garantindo pagamentos iguais em todos os meses do exercício</w:t>
      </w:r>
      <w:r w:rsidR="005E3705" w:rsidRPr="00FE57FC">
        <w:rPr>
          <w:rFonts w:ascii="Garamond" w:eastAsia="Klavika-Bold" w:hAnsi="Garamond" w:cs="Arial"/>
          <w:bCs/>
          <w:color w:val="002060"/>
          <w:sz w:val="24"/>
          <w:szCs w:val="24"/>
        </w:rPr>
        <w:t>.</w:t>
      </w:r>
    </w:p>
    <w:sectPr w:rsidR="008B3BF8" w:rsidRPr="00FE57FC" w:rsidSect="000176A5">
      <w:headerReference w:type="default" r:id="rId12"/>
      <w:footerReference w:type="default" r:id="rId13"/>
      <w:pgSz w:w="11906" w:h="16838"/>
      <w:pgMar w:top="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A043" w14:textId="77777777" w:rsidR="00CD14FF" w:rsidRDefault="00CD14FF" w:rsidP="003A5CC8">
      <w:pPr>
        <w:spacing w:after="0" w:line="240" w:lineRule="auto"/>
      </w:pPr>
      <w:r>
        <w:separator/>
      </w:r>
    </w:p>
  </w:endnote>
  <w:endnote w:type="continuationSeparator" w:id="0">
    <w:p w14:paraId="5F857920" w14:textId="77777777" w:rsidR="00CD14FF" w:rsidRDefault="00CD14FF" w:rsidP="003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15880"/>
      <w:docPartObj>
        <w:docPartGallery w:val="Page Numbers (Bottom of Page)"/>
        <w:docPartUnique/>
      </w:docPartObj>
    </w:sdtPr>
    <w:sdtEndPr>
      <w:rPr>
        <w:rFonts w:ascii="Garamond" w:hAnsi="Garamond"/>
        <w:color w:val="002060"/>
      </w:rPr>
    </w:sdtEndPr>
    <w:sdtContent>
      <w:p w14:paraId="5C1C0798" w14:textId="77777777" w:rsidR="00B22C4D" w:rsidRPr="00FE57FC" w:rsidRDefault="00B22C4D">
        <w:pPr>
          <w:pStyle w:val="Rodap"/>
          <w:jc w:val="right"/>
          <w:rPr>
            <w:rFonts w:ascii="Garamond" w:hAnsi="Garamond"/>
            <w:color w:val="002060"/>
          </w:rPr>
        </w:pPr>
        <w:r w:rsidRPr="00FE57FC">
          <w:rPr>
            <w:rFonts w:ascii="Garamond" w:hAnsi="Garamond"/>
            <w:noProof/>
            <w:color w:val="002060"/>
          </w:rPr>
          <w:fldChar w:fldCharType="begin"/>
        </w:r>
        <w:r w:rsidRPr="00FE57FC">
          <w:rPr>
            <w:rFonts w:ascii="Garamond" w:hAnsi="Garamond"/>
            <w:noProof/>
            <w:color w:val="002060"/>
          </w:rPr>
          <w:instrText xml:space="preserve"> PAGE   \* MERGEFORMAT </w:instrText>
        </w:r>
        <w:r w:rsidRPr="00FE57FC">
          <w:rPr>
            <w:rFonts w:ascii="Garamond" w:hAnsi="Garamond"/>
            <w:noProof/>
            <w:color w:val="002060"/>
          </w:rPr>
          <w:fldChar w:fldCharType="separate"/>
        </w:r>
        <w:r w:rsidR="00C80E2E">
          <w:rPr>
            <w:rFonts w:ascii="Garamond" w:hAnsi="Garamond"/>
            <w:noProof/>
            <w:color w:val="002060"/>
          </w:rPr>
          <w:t>11</w:t>
        </w:r>
        <w:r w:rsidRPr="00FE57FC">
          <w:rPr>
            <w:rFonts w:ascii="Garamond" w:hAnsi="Garamond"/>
            <w:noProof/>
            <w:color w:val="002060"/>
          </w:rPr>
          <w:fldChar w:fldCharType="end"/>
        </w:r>
      </w:p>
    </w:sdtContent>
  </w:sdt>
  <w:p w14:paraId="3A5C4862" w14:textId="77777777" w:rsidR="00B22C4D" w:rsidRDefault="00B22C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0766" w14:textId="77777777" w:rsidR="00CD14FF" w:rsidRDefault="00CD14FF" w:rsidP="003A5CC8">
      <w:pPr>
        <w:spacing w:after="0" w:line="240" w:lineRule="auto"/>
      </w:pPr>
      <w:r>
        <w:separator/>
      </w:r>
    </w:p>
  </w:footnote>
  <w:footnote w:type="continuationSeparator" w:id="0">
    <w:p w14:paraId="583715BA" w14:textId="77777777" w:rsidR="00CD14FF" w:rsidRDefault="00CD14FF" w:rsidP="003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9605" w14:textId="77777777" w:rsidR="00B22C4D" w:rsidRDefault="00B22C4D">
    <w:pPr>
      <w:pStyle w:val="Cabealho"/>
    </w:pPr>
  </w:p>
  <w:p w14:paraId="22E02824" w14:textId="77777777" w:rsidR="00B22C4D" w:rsidRDefault="00B22C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C5B"/>
    <w:multiLevelType w:val="hybridMultilevel"/>
    <w:tmpl w:val="249E4388"/>
    <w:lvl w:ilvl="0" w:tplc="98B60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6883"/>
    <w:multiLevelType w:val="hybridMultilevel"/>
    <w:tmpl w:val="6B70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0B0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727C31"/>
    <w:multiLevelType w:val="hybridMultilevel"/>
    <w:tmpl w:val="968AC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45E8D"/>
    <w:multiLevelType w:val="hybridMultilevel"/>
    <w:tmpl w:val="40D808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24B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2A3C14"/>
    <w:multiLevelType w:val="hybridMultilevel"/>
    <w:tmpl w:val="EA928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41C80"/>
    <w:multiLevelType w:val="hybridMultilevel"/>
    <w:tmpl w:val="ECF87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C2C"/>
    <w:rsid w:val="00015C09"/>
    <w:rsid w:val="000176A5"/>
    <w:rsid w:val="00017EBF"/>
    <w:rsid w:val="0002230A"/>
    <w:rsid w:val="000231F1"/>
    <w:rsid w:val="000341A2"/>
    <w:rsid w:val="00035084"/>
    <w:rsid w:val="00035591"/>
    <w:rsid w:val="00046E95"/>
    <w:rsid w:val="00053FE3"/>
    <w:rsid w:val="000545DD"/>
    <w:rsid w:val="00065537"/>
    <w:rsid w:val="00075016"/>
    <w:rsid w:val="00076BEF"/>
    <w:rsid w:val="000850DE"/>
    <w:rsid w:val="000868DA"/>
    <w:rsid w:val="000917C7"/>
    <w:rsid w:val="000A24EC"/>
    <w:rsid w:val="000B4976"/>
    <w:rsid w:val="000B4A36"/>
    <w:rsid w:val="000C2621"/>
    <w:rsid w:val="000D5DCB"/>
    <w:rsid w:val="000E4A55"/>
    <w:rsid w:val="000E5ECF"/>
    <w:rsid w:val="000F1526"/>
    <w:rsid w:val="00106330"/>
    <w:rsid w:val="00106F2F"/>
    <w:rsid w:val="00116BA1"/>
    <w:rsid w:val="00124422"/>
    <w:rsid w:val="00131C20"/>
    <w:rsid w:val="00133F7E"/>
    <w:rsid w:val="001351F4"/>
    <w:rsid w:val="00155D13"/>
    <w:rsid w:val="00160388"/>
    <w:rsid w:val="00177DFF"/>
    <w:rsid w:val="00182BDE"/>
    <w:rsid w:val="00187FC6"/>
    <w:rsid w:val="00197F2B"/>
    <w:rsid w:val="001A450A"/>
    <w:rsid w:val="001A5425"/>
    <w:rsid w:val="001A7762"/>
    <w:rsid w:val="001C73BA"/>
    <w:rsid w:val="001D59AC"/>
    <w:rsid w:val="001D6C7A"/>
    <w:rsid w:val="001E1A4E"/>
    <w:rsid w:val="001F7B11"/>
    <w:rsid w:val="001F7DE9"/>
    <w:rsid w:val="0020675F"/>
    <w:rsid w:val="00207DCD"/>
    <w:rsid w:val="002118B7"/>
    <w:rsid w:val="0021314D"/>
    <w:rsid w:val="00226BAC"/>
    <w:rsid w:val="00232307"/>
    <w:rsid w:val="00240D79"/>
    <w:rsid w:val="00242E7C"/>
    <w:rsid w:val="00243DD0"/>
    <w:rsid w:val="00243E42"/>
    <w:rsid w:val="002505E4"/>
    <w:rsid w:val="002539EA"/>
    <w:rsid w:val="00256288"/>
    <w:rsid w:val="00257978"/>
    <w:rsid w:val="00260C86"/>
    <w:rsid w:val="0026202C"/>
    <w:rsid w:val="002710DB"/>
    <w:rsid w:val="00274770"/>
    <w:rsid w:val="00287659"/>
    <w:rsid w:val="00290157"/>
    <w:rsid w:val="00291FF1"/>
    <w:rsid w:val="00293FF1"/>
    <w:rsid w:val="00294842"/>
    <w:rsid w:val="002D32B7"/>
    <w:rsid w:val="002D6B9A"/>
    <w:rsid w:val="002E582C"/>
    <w:rsid w:val="002F1A91"/>
    <w:rsid w:val="002F5B06"/>
    <w:rsid w:val="003048E2"/>
    <w:rsid w:val="00305532"/>
    <w:rsid w:val="00311950"/>
    <w:rsid w:val="00313064"/>
    <w:rsid w:val="003202A7"/>
    <w:rsid w:val="00324691"/>
    <w:rsid w:val="003322BC"/>
    <w:rsid w:val="003352AB"/>
    <w:rsid w:val="0034536B"/>
    <w:rsid w:val="003507F1"/>
    <w:rsid w:val="00354E6E"/>
    <w:rsid w:val="00364D3D"/>
    <w:rsid w:val="00367B91"/>
    <w:rsid w:val="003706EE"/>
    <w:rsid w:val="00373EBB"/>
    <w:rsid w:val="00381667"/>
    <w:rsid w:val="00382439"/>
    <w:rsid w:val="00393910"/>
    <w:rsid w:val="003A3E95"/>
    <w:rsid w:val="003A5CC8"/>
    <w:rsid w:val="003B118B"/>
    <w:rsid w:val="003C273F"/>
    <w:rsid w:val="003C3DC3"/>
    <w:rsid w:val="003C6229"/>
    <w:rsid w:val="003C7024"/>
    <w:rsid w:val="003D1FD8"/>
    <w:rsid w:val="003D6603"/>
    <w:rsid w:val="003F68F9"/>
    <w:rsid w:val="003F737A"/>
    <w:rsid w:val="00400ABD"/>
    <w:rsid w:val="0041142A"/>
    <w:rsid w:val="00415BDA"/>
    <w:rsid w:val="00415DBD"/>
    <w:rsid w:val="00422954"/>
    <w:rsid w:val="004301D7"/>
    <w:rsid w:val="00431BA4"/>
    <w:rsid w:val="00436A79"/>
    <w:rsid w:val="004425AF"/>
    <w:rsid w:val="00445245"/>
    <w:rsid w:val="0044567F"/>
    <w:rsid w:val="00456746"/>
    <w:rsid w:val="00462579"/>
    <w:rsid w:val="00470491"/>
    <w:rsid w:val="00473316"/>
    <w:rsid w:val="00482584"/>
    <w:rsid w:val="00486F57"/>
    <w:rsid w:val="0049458C"/>
    <w:rsid w:val="00496B1E"/>
    <w:rsid w:val="00496CF9"/>
    <w:rsid w:val="00497018"/>
    <w:rsid w:val="004A03CB"/>
    <w:rsid w:val="004A704D"/>
    <w:rsid w:val="004B1E9D"/>
    <w:rsid w:val="004C3B9A"/>
    <w:rsid w:val="004C5E95"/>
    <w:rsid w:val="004C785B"/>
    <w:rsid w:val="004D041E"/>
    <w:rsid w:val="004D13E5"/>
    <w:rsid w:val="004D3268"/>
    <w:rsid w:val="004F7EB8"/>
    <w:rsid w:val="00507CE3"/>
    <w:rsid w:val="00517AAD"/>
    <w:rsid w:val="00520872"/>
    <w:rsid w:val="00526331"/>
    <w:rsid w:val="00532C8F"/>
    <w:rsid w:val="00545798"/>
    <w:rsid w:val="005468F2"/>
    <w:rsid w:val="00560D8D"/>
    <w:rsid w:val="00560ED4"/>
    <w:rsid w:val="005807B9"/>
    <w:rsid w:val="00582E3B"/>
    <w:rsid w:val="00584B7A"/>
    <w:rsid w:val="0059067E"/>
    <w:rsid w:val="005B1954"/>
    <w:rsid w:val="005B27EF"/>
    <w:rsid w:val="005B4FF1"/>
    <w:rsid w:val="005C6729"/>
    <w:rsid w:val="005D4091"/>
    <w:rsid w:val="005E25C2"/>
    <w:rsid w:val="005E3705"/>
    <w:rsid w:val="005E659D"/>
    <w:rsid w:val="005F65E5"/>
    <w:rsid w:val="006147A5"/>
    <w:rsid w:val="0061677E"/>
    <w:rsid w:val="00616851"/>
    <w:rsid w:val="00621601"/>
    <w:rsid w:val="006268EB"/>
    <w:rsid w:val="00635771"/>
    <w:rsid w:val="0064229D"/>
    <w:rsid w:val="00651551"/>
    <w:rsid w:val="0065333D"/>
    <w:rsid w:val="00662CCF"/>
    <w:rsid w:val="006656B3"/>
    <w:rsid w:val="006800D6"/>
    <w:rsid w:val="00683D92"/>
    <w:rsid w:val="006A2280"/>
    <w:rsid w:val="006B29F8"/>
    <w:rsid w:val="006B74D5"/>
    <w:rsid w:val="006E03C0"/>
    <w:rsid w:val="006E1560"/>
    <w:rsid w:val="006E529B"/>
    <w:rsid w:val="006F2855"/>
    <w:rsid w:val="007011B4"/>
    <w:rsid w:val="0070589B"/>
    <w:rsid w:val="00711F7A"/>
    <w:rsid w:val="00734B25"/>
    <w:rsid w:val="00751D1E"/>
    <w:rsid w:val="00751FEF"/>
    <w:rsid w:val="0075598B"/>
    <w:rsid w:val="00762444"/>
    <w:rsid w:val="007743BC"/>
    <w:rsid w:val="00787DF6"/>
    <w:rsid w:val="007A4D10"/>
    <w:rsid w:val="007A50B5"/>
    <w:rsid w:val="007C35C6"/>
    <w:rsid w:val="007C594A"/>
    <w:rsid w:val="007C5C6D"/>
    <w:rsid w:val="007C66BC"/>
    <w:rsid w:val="007E2C4F"/>
    <w:rsid w:val="007E5578"/>
    <w:rsid w:val="007E59CF"/>
    <w:rsid w:val="007F45DF"/>
    <w:rsid w:val="007F535A"/>
    <w:rsid w:val="007F625E"/>
    <w:rsid w:val="00811BEA"/>
    <w:rsid w:val="008128A7"/>
    <w:rsid w:val="00820E67"/>
    <w:rsid w:val="00852714"/>
    <w:rsid w:val="00857ADF"/>
    <w:rsid w:val="00866EBF"/>
    <w:rsid w:val="0086734D"/>
    <w:rsid w:val="00881A21"/>
    <w:rsid w:val="0088278D"/>
    <w:rsid w:val="00891C9D"/>
    <w:rsid w:val="00895827"/>
    <w:rsid w:val="00895D68"/>
    <w:rsid w:val="008A718A"/>
    <w:rsid w:val="008B3BF8"/>
    <w:rsid w:val="008B60E3"/>
    <w:rsid w:val="008B6716"/>
    <w:rsid w:val="008C0345"/>
    <w:rsid w:val="008C3297"/>
    <w:rsid w:val="008C4EC7"/>
    <w:rsid w:val="008D0233"/>
    <w:rsid w:val="008E2224"/>
    <w:rsid w:val="008E6DA2"/>
    <w:rsid w:val="0090080E"/>
    <w:rsid w:val="00903A77"/>
    <w:rsid w:val="00913A0E"/>
    <w:rsid w:val="00915A0B"/>
    <w:rsid w:val="009239B4"/>
    <w:rsid w:val="00925825"/>
    <w:rsid w:val="00927C27"/>
    <w:rsid w:val="0093051C"/>
    <w:rsid w:val="0093305B"/>
    <w:rsid w:val="00933674"/>
    <w:rsid w:val="00952C2C"/>
    <w:rsid w:val="00962901"/>
    <w:rsid w:val="00964C96"/>
    <w:rsid w:val="00973B57"/>
    <w:rsid w:val="00982C65"/>
    <w:rsid w:val="00983624"/>
    <w:rsid w:val="00984410"/>
    <w:rsid w:val="00992F85"/>
    <w:rsid w:val="009A1AAD"/>
    <w:rsid w:val="009A1CE7"/>
    <w:rsid w:val="009A3BAD"/>
    <w:rsid w:val="009D52C0"/>
    <w:rsid w:val="009F33F1"/>
    <w:rsid w:val="009F6C20"/>
    <w:rsid w:val="009F6F06"/>
    <w:rsid w:val="00A0330E"/>
    <w:rsid w:val="00A07AB3"/>
    <w:rsid w:val="00A154BB"/>
    <w:rsid w:val="00A23546"/>
    <w:rsid w:val="00A246F5"/>
    <w:rsid w:val="00A70777"/>
    <w:rsid w:val="00A749D7"/>
    <w:rsid w:val="00A76148"/>
    <w:rsid w:val="00A768BA"/>
    <w:rsid w:val="00A8084D"/>
    <w:rsid w:val="00A968D4"/>
    <w:rsid w:val="00AA41C3"/>
    <w:rsid w:val="00AA74E6"/>
    <w:rsid w:val="00AB6ACD"/>
    <w:rsid w:val="00AC25A9"/>
    <w:rsid w:val="00AD579C"/>
    <w:rsid w:val="00AD733C"/>
    <w:rsid w:val="00AE09DF"/>
    <w:rsid w:val="00AE2800"/>
    <w:rsid w:val="00B17C52"/>
    <w:rsid w:val="00B22C4D"/>
    <w:rsid w:val="00B23F8F"/>
    <w:rsid w:val="00B24906"/>
    <w:rsid w:val="00B257AC"/>
    <w:rsid w:val="00B2659D"/>
    <w:rsid w:val="00B4323D"/>
    <w:rsid w:val="00B5011F"/>
    <w:rsid w:val="00B504A5"/>
    <w:rsid w:val="00B50E20"/>
    <w:rsid w:val="00B56ED9"/>
    <w:rsid w:val="00B838BE"/>
    <w:rsid w:val="00B862E6"/>
    <w:rsid w:val="00B92C2C"/>
    <w:rsid w:val="00B97267"/>
    <w:rsid w:val="00BA70A7"/>
    <w:rsid w:val="00BB3ECC"/>
    <w:rsid w:val="00BC7A08"/>
    <w:rsid w:val="00BD3A1C"/>
    <w:rsid w:val="00BE13AD"/>
    <w:rsid w:val="00BF2110"/>
    <w:rsid w:val="00C01CF8"/>
    <w:rsid w:val="00C13FD9"/>
    <w:rsid w:val="00C5074C"/>
    <w:rsid w:val="00C51826"/>
    <w:rsid w:val="00C660CB"/>
    <w:rsid w:val="00C666CF"/>
    <w:rsid w:val="00C6684C"/>
    <w:rsid w:val="00C72463"/>
    <w:rsid w:val="00C80E2E"/>
    <w:rsid w:val="00C94D3A"/>
    <w:rsid w:val="00C9722C"/>
    <w:rsid w:val="00CA4363"/>
    <w:rsid w:val="00CB44D4"/>
    <w:rsid w:val="00CD14FF"/>
    <w:rsid w:val="00CD626A"/>
    <w:rsid w:val="00CE1562"/>
    <w:rsid w:val="00CE32F2"/>
    <w:rsid w:val="00CE6AD3"/>
    <w:rsid w:val="00CF30A7"/>
    <w:rsid w:val="00D005C6"/>
    <w:rsid w:val="00D00648"/>
    <w:rsid w:val="00D07DF5"/>
    <w:rsid w:val="00D12ED2"/>
    <w:rsid w:val="00D266E9"/>
    <w:rsid w:val="00D423D9"/>
    <w:rsid w:val="00D532C0"/>
    <w:rsid w:val="00D57985"/>
    <w:rsid w:val="00D60E15"/>
    <w:rsid w:val="00D703FE"/>
    <w:rsid w:val="00D70E1A"/>
    <w:rsid w:val="00D727C1"/>
    <w:rsid w:val="00D74738"/>
    <w:rsid w:val="00D7736B"/>
    <w:rsid w:val="00D872FD"/>
    <w:rsid w:val="00DA0F18"/>
    <w:rsid w:val="00DA5560"/>
    <w:rsid w:val="00DB1F53"/>
    <w:rsid w:val="00DB74D2"/>
    <w:rsid w:val="00DB7FD9"/>
    <w:rsid w:val="00DC5D98"/>
    <w:rsid w:val="00DD6074"/>
    <w:rsid w:val="00DE2B6A"/>
    <w:rsid w:val="00DE570B"/>
    <w:rsid w:val="00E01A7A"/>
    <w:rsid w:val="00E02989"/>
    <w:rsid w:val="00E158D3"/>
    <w:rsid w:val="00E30762"/>
    <w:rsid w:val="00E40F8E"/>
    <w:rsid w:val="00E416DB"/>
    <w:rsid w:val="00E43461"/>
    <w:rsid w:val="00E55CE3"/>
    <w:rsid w:val="00E618D8"/>
    <w:rsid w:val="00E64F46"/>
    <w:rsid w:val="00E70D85"/>
    <w:rsid w:val="00E77ED9"/>
    <w:rsid w:val="00E91512"/>
    <w:rsid w:val="00E93154"/>
    <w:rsid w:val="00EA2CE3"/>
    <w:rsid w:val="00EC6C52"/>
    <w:rsid w:val="00ED1833"/>
    <w:rsid w:val="00ED5219"/>
    <w:rsid w:val="00EF2B04"/>
    <w:rsid w:val="00F20193"/>
    <w:rsid w:val="00F25D50"/>
    <w:rsid w:val="00F30517"/>
    <w:rsid w:val="00F46A27"/>
    <w:rsid w:val="00F6142F"/>
    <w:rsid w:val="00F63275"/>
    <w:rsid w:val="00F66BAD"/>
    <w:rsid w:val="00F77EED"/>
    <w:rsid w:val="00F80AAB"/>
    <w:rsid w:val="00F822AB"/>
    <w:rsid w:val="00F97362"/>
    <w:rsid w:val="00FB4D1A"/>
    <w:rsid w:val="00FB4DAE"/>
    <w:rsid w:val="00FB6562"/>
    <w:rsid w:val="00FE57FC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C5CEE"/>
  <w15:docId w15:val="{AD42D1B6-5968-44B2-B868-F718FCE3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2A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048E2"/>
    <w:pPr>
      <w:keepNext/>
      <w:keepLines/>
      <w:numPr>
        <w:numId w:val="6"/>
      </w:numPr>
      <w:spacing w:before="480" w:after="240" w:line="230" w:lineRule="auto"/>
      <w:jc w:val="both"/>
      <w:outlineLvl w:val="0"/>
    </w:pPr>
    <w:rPr>
      <w:rFonts w:ascii="Arial Negrito" w:eastAsiaTheme="majorEastAsia" w:hAnsi="Arial Negrito" w:cstheme="majorBidi"/>
      <w:b/>
      <w:bCs/>
      <w:smallCaps/>
      <w:sz w:val="26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048E2"/>
    <w:pPr>
      <w:keepNext/>
      <w:keepLines/>
      <w:numPr>
        <w:ilvl w:val="1"/>
        <w:numId w:val="6"/>
      </w:numPr>
      <w:spacing w:before="320" w:after="320" w:line="230" w:lineRule="auto"/>
      <w:jc w:val="both"/>
      <w:outlineLvl w:val="1"/>
    </w:pPr>
    <w:rPr>
      <w:rFonts w:ascii="Arial" w:eastAsiaTheme="majorEastAsia" w:hAnsi="Arial" w:cs="Arial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3048E2"/>
    <w:pPr>
      <w:keepNext/>
      <w:keepLines/>
      <w:spacing w:before="120"/>
      <w:jc w:val="both"/>
      <w:outlineLvl w:val="2"/>
    </w:pPr>
    <w:rPr>
      <w:rFonts w:ascii="Arial" w:eastAsia="Calibri" w:hAnsi="Arial" w:cs="Arial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48E2"/>
    <w:pPr>
      <w:keepNext/>
      <w:keepLines/>
      <w:numPr>
        <w:ilvl w:val="3"/>
        <w:numId w:val="6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48E2"/>
    <w:pPr>
      <w:keepNext/>
      <w:keepLines/>
      <w:numPr>
        <w:ilvl w:val="4"/>
        <w:numId w:val="6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48E2"/>
    <w:pPr>
      <w:keepNext/>
      <w:keepLines/>
      <w:numPr>
        <w:ilvl w:val="5"/>
        <w:numId w:val="6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48E2"/>
    <w:pPr>
      <w:keepNext/>
      <w:keepLines/>
      <w:numPr>
        <w:ilvl w:val="6"/>
        <w:numId w:val="6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48E2"/>
    <w:pPr>
      <w:keepNext/>
      <w:keepLines/>
      <w:numPr>
        <w:ilvl w:val="7"/>
        <w:numId w:val="6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48E2"/>
    <w:pPr>
      <w:keepNext/>
      <w:keepLines/>
      <w:numPr>
        <w:ilvl w:val="8"/>
        <w:numId w:val="6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00648"/>
    <w:rPr>
      <w:color w:val="0000FF"/>
      <w:u w:val="single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rsid w:val="00046E95"/>
    <w:pPr>
      <w:ind w:left="720"/>
      <w:contextualSpacing/>
    </w:pPr>
  </w:style>
  <w:style w:type="paragraph" w:customStyle="1" w:styleId="texto10">
    <w:name w:val="texto10"/>
    <w:basedOn w:val="Normal"/>
    <w:rsid w:val="0024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0AAB"/>
  </w:style>
  <w:style w:type="paragraph" w:styleId="Textodebalo">
    <w:name w:val="Balloon Text"/>
    <w:basedOn w:val="Normal"/>
    <w:link w:val="TextodebaloChar"/>
    <w:uiPriority w:val="99"/>
    <w:semiHidden/>
    <w:unhideWhenUsed/>
    <w:rsid w:val="004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B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30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30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30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30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306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A5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CC8"/>
  </w:style>
  <w:style w:type="paragraph" w:styleId="Rodap">
    <w:name w:val="footer"/>
    <w:basedOn w:val="Normal"/>
    <w:link w:val="RodapChar"/>
    <w:uiPriority w:val="99"/>
    <w:unhideWhenUsed/>
    <w:rsid w:val="003A5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CC8"/>
  </w:style>
  <w:style w:type="character" w:customStyle="1" w:styleId="PargrafodaListaChar">
    <w:name w:val="Parágrafo da Lista Char"/>
    <w:aliases w:val="Lista Paragrafo em Preto Char"/>
    <w:link w:val="PargrafodaLista"/>
    <w:uiPriority w:val="34"/>
    <w:qFormat/>
    <w:locked/>
    <w:rsid w:val="002505E4"/>
  </w:style>
  <w:style w:type="character" w:customStyle="1" w:styleId="Ttulo1Char">
    <w:name w:val="Título 1 Char"/>
    <w:basedOn w:val="Fontepargpadro"/>
    <w:link w:val="Ttulo1"/>
    <w:uiPriority w:val="9"/>
    <w:rsid w:val="003048E2"/>
    <w:rPr>
      <w:rFonts w:ascii="Arial Negrito" w:eastAsiaTheme="majorEastAsia" w:hAnsi="Arial Negrito" w:cstheme="majorBidi"/>
      <w:b/>
      <w:bCs/>
      <w:smallCaps/>
      <w:sz w:val="2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048E2"/>
    <w:rPr>
      <w:rFonts w:ascii="Arial" w:eastAsiaTheme="majorEastAsia" w:hAnsi="Arial" w:cs="Arial"/>
      <w:b/>
      <w:bCs/>
      <w:smallCaps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3048E2"/>
    <w:rPr>
      <w:rFonts w:ascii="Arial" w:eastAsia="Calibri" w:hAnsi="Arial" w:cs="Arial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4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48E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48E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48E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48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4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3">
    <w:name w:val="A3"/>
    <w:uiPriority w:val="99"/>
    <w:rsid w:val="00895827"/>
    <w:rPr>
      <w:rFonts w:cs="Open Sans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40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0D7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0D79"/>
    <w:rPr>
      <w:rFonts w:ascii="Arial Black" w:eastAsia="Arial Black" w:hAnsi="Arial Black" w:cs="Arial Black"/>
      <w:lang w:val="pt-PT" w:eastAsia="pt-PT" w:bidi="pt-PT"/>
    </w:rPr>
  </w:style>
  <w:style w:type="paragraph" w:styleId="Reviso">
    <w:name w:val="Revision"/>
    <w:hidden/>
    <w:uiPriority w:val="99"/>
    <w:semiHidden/>
    <w:rsid w:val="00D53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49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CP/Lcp13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1989_1994/L837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285C-C286-4A56-A30D-9921D83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5218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inez.ruediger</dc:creator>
  <cp:lastModifiedBy>SEGER</cp:lastModifiedBy>
  <cp:revision>10</cp:revision>
  <cp:lastPrinted>2022-06-01T20:02:00Z</cp:lastPrinted>
  <dcterms:created xsi:type="dcterms:W3CDTF">2022-03-07T17:16:00Z</dcterms:created>
  <dcterms:modified xsi:type="dcterms:W3CDTF">2022-06-01T20:02:00Z</dcterms:modified>
</cp:coreProperties>
</file>